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747DD4" w14:textId="42AAAE81" w:rsidR="00243C5A" w:rsidRPr="00243C5A" w:rsidRDefault="00243C5A" w:rsidP="00243C5A">
      <w:pPr>
        <w:pStyle w:val="Heading2"/>
        <w:spacing w:before="60" w:after="60" w:line="276" w:lineRule="auto"/>
        <w:jc w:val="center"/>
        <w:rPr>
          <w:rStyle w:val="y2iqfc"/>
          <w:rFonts w:ascii="Calibri" w:hAnsi="Calibri" w:cs="Calibri"/>
        </w:rPr>
      </w:pPr>
      <w:r w:rsidRPr="00243C5A">
        <w:rPr>
          <w:rStyle w:val="y2iqfc"/>
          <w:rFonts w:ascii="Calibri" w:hAnsi="Calibri" w:cs="Calibri"/>
        </w:rPr>
        <w:t xml:space="preserve">Raport Panel de experți - </w:t>
      </w:r>
      <w:r w:rsidRPr="00243C5A">
        <w:rPr>
          <w:rFonts w:ascii="Calibri" w:hAnsi="Calibri" w:cs="Calibri"/>
        </w:rPr>
        <w:t>Cluj IT Cluster</w:t>
      </w:r>
    </w:p>
    <w:p w14:paraId="6424052B" w14:textId="77777777" w:rsidR="00036A3F" w:rsidRDefault="00036A3F" w:rsidP="00036A3F">
      <w:pPr>
        <w:rPr>
          <w:rFonts w:ascii="Calibri" w:hAnsi="Calibri" w:cs="Calibri"/>
          <w:color w:val="156082" w:themeColor="accent1"/>
          <w:sz w:val="28"/>
          <w:szCs w:val="28"/>
        </w:rPr>
      </w:pPr>
    </w:p>
    <w:p w14:paraId="72911104" w14:textId="77777777" w:rsidR="00884753" w:rsidRPr="004258AC" w:rsidRDefault="00884753" w:rsidP="00884753">
      <w:pPr>
        <w:rPr>
          <w:rFonts w:ascii="Calibri" w:hAnsi="Calibri" w:cs="Calibri"/>
          <w:color w:val="156082" w:themeColor="accent1"/>
          <w:sz w:val="28"/>
          <w:szCs w:val="28"/>
        </w:rPr>
      </w:pPr>
      <w:r>
        <w:rPr>
          <w:rFonts w:ascii="Calibri" w:hAnsi="Calibri" w:cs="Calibri"/>
          <w:color w:val="156082" w:themeColor="accent1"/>
          <w:sz w:val="28"/>
          <w:szCs w:val="28"/>
        </w:rPr>
        <w:t>Detalii metodologice</w:t>
      </w:r>
    </w:p>
    <w:tbl>
      <w:tblPr>
        <w:tblStyle w:val="GridTable2-Accent1"/>
        <w:tblW w:w="0" w:type="auto"/>
        <w:tblLook w:val="04A0" w:firstRow="1" w:lastRow="0" w:firstColumn="1" w:lastColumn="0" w:noHBand="0" w:noVBand="1"/>
      </w:tblPr>
      <w:tblGrid>
        <w:gridCol w:w="1933"/>
        <w:gridCol w:w="7139"/>
      </w:tblGrid>
      <w:tr w:rsidR="00884753" w:rsidRPr="00C22AA1" w14:paraId="123D2F2F" w14:textId="77777777" w:rsidTr="00C6197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246AEE7" w14:textId="77777777" w:rsidR="00884753" w:rsidRPr="00C22AA1" w:rsidRDefault="00884753" w:rsidP="00C6197A">
            <w:pPr>
              <w:spacing w:line="259" w:lineRule="auto"/>
              <w:rPr>
                <w:rFonts w:ascii="Calibri" w:hAnsi="Calibri" w:cs="Calibri"/>
                <w:b w:val="0"/>
                <w:bCs w:val="0"/>
              </w:rPr>
            </w:pPr>
            <w:r w:rsidRPr="00C22AA1">
              <w:rPr>
                <w:rFonts w:ascii="Calibri" w:hAnsi="Calibri" w:cs="Calibri"/>
                <w:b w:val="0"/>
                <w:bCs w:val="0"/>
              </w:rPr>
              <w:t>Tip activitate</w:t>
            </w:r>
          </w:p>
        </w:tc>
        <w:tc>
          <w:tcPr>
            <w:tcW w:w="0" w:type="auto"/>
            <w:hideMark/>
          </w:tcPr>
          <w:p w14:paraId="2CB0B5DA" w14:textId="77777777" w:rsidR="00884753" w:rsidRPr="00C22AA1" w:rsidRDefault="00884753" w:rsidP="00C6197A">
            <w:pPr>
              <w:spacing w:line="259" w:lineRule="auto"/>
              <w:cnfStyle w:val="100000000000" w:firstRow="1" w:lastRow="0" w:firstColumn="0" w:lastColumn="0" w:oddVBand="0" w:evenVBand="0" w:oddHBand="0" w:evenHBand="0" w:firstRowFirstColumn="0" w:firstRowLastColumn="0" w:lastRowFirstColumn="0" w:lastRowLastColumn="0"/>
              <w:rPr>
                <w:rFonts w:ascii="Calibri" w:hAnsi="Calibri" w:cs="Calibri"/>
                <w:b w:val="0"/>
                <w:bCs w:val="0"/>
              </w:rPr>
            </w:pPr>
            <w:r>
              <w:rPr>
                <w:rFonts w:ascii="Calibri" w:hAnsi="Calibri" w:cs="Calibri"/>
                <w:b w:val="0"/>
                <w:bCs w:val="0"/>
              </w:rPr>
              <w:t>Panel de experți</w:t>
            </w:r>
          </w:p>
        </w:tc>
      </w:tr>
      <w:tr w:rsidR="00884753" w:rsidRPr="00C22AA1" w14:paraId="479613EF" w14:textId="77777777" w:rsidTr="00C619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047E063" w14:textId="77777777" w:rsidR="00884753" w:rsidRPr="00C22AA1" w:rsidRDefault="00884753" w:rsidP="00C6197A">
            <w:pPr>
              <w:spacing w:line="259" w:lineRule="auto"/>
              <w:rPr>
                <w:rFonts w:ascii="Calibri" w:hAnsi="Calibri" w:cs="Calibri"/>
                <w:b w:val="0"/>
                <w:bCs w:val="0"/>
              </w:rPr>
            </w:pPr>
            <w:r w:rsidRPr="00C22AA1">
              <w:rPr>
                <w:rFonts w:ascii="Calibri" w:hAnsi="Calibri" w:cs="Calibri"/>
                <w:b w:val="0"/>
                <w:bCs w:val="0"/>
              </w:rPr>
              <w:t>Tema</w:t>
            </w:r>
          </w:p>
        </w:tc>
        <w:tc>
          <w:tcPr>
            <w:tcW w:w="0" w:type="auto"/>
            <w:hideMark/>
          </w:tcPr>
          <w:p w14:paraId="70780649" w14:textId="77777777" w:rsidR="00884753" w:rsidRPr="00C22AA1" w:rsidRDefault="00884753" w:rsidP="00C6197A">
            <w:pPr>
              <w:spacing w:line="259"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C22AA1">
              <w:rPr>
                <w:rFonts w:ascii="Calibri" w:hAnsi="Calibri" w:cs="Calibri"/>
              </w:rPr>
              <w:t xml:space="preserve">Evaluarea intervențiilor aferente OS 1.2 </w:t>
            </w:r>
            <w:r>
              <w:rPr>
                <w:rFonts w:ascii="Calibri" w:hAnsi="Calibri" w:cs="Calibri"/>
              </w:rPr>
              <w:t xml:space="preserve">- </w:t>
            </w:r>
            <w:r w:rsidRPr="00C22AA1">
              <w:rPr>
                <w:rFonts w:ascii="Calibri" w:hAnsi="Calibri" w:cs="Calibri"/>
              </w:rPr>
              <w:t>Digitalizarea IMM-urilor în cadrul PR NV 2021</w:t>
            </w:r>
            <w:r>
              <w:rPr>
                <w:rFonts w:ascii="Calibri" w:hAnsi="Calibri" w:cs="Calibri"/>
              </w:rPr>
              <w:t>-</w:t>
            </w:r>
            <w:r w:rsidRPr="00C22AA1">
              <w:rPr>
                <w:rFonts w:ascii="Calibri" w:hAnsi="Calibri" w:cs="Calibri"/>
              </w:rPr>
              <w:t>2027</w:t>
            </w:r>
          </w:p>
        </w:tc>
      </w:tr>
      <w:tr w:rsidR="00884753" w:rsidRPr="00C22AA1" w14:paraId="15F0A9E9" w14:textId="77777777" w:rsidTr="00C6197A">
        <w:tc>
          <w:tcPr>
            <w:cnfStyle w:val="001000000000" w:firstRow="0" w:lastRow="0" w:firstColumn="1" w:lastColumn="0" w:oddVBand="0" w:evenVBand="0" w:oddHBand="0" w:evenHBand="0" w:firstRowFirstColumn="0" w:firstRowLastColumn="0" w:lastRowFirstColumn="0" w:lastRowLastColumn="0"/>
            <w:tcW w:w="0" w:type="auto"/>
            <w:hideMark/>
          </w:tcPr>
          <w:p w14:paraId="63878393" w14:textId="77777777" w:rsidR="00884753" w:rsidRPr="00C22AA1" w:rsidRDefault="00884753" w:rsidP="00C6197A">
            <w:pPr>
              <w:spacing w:line="259" w:lineRule="auto"/>
              <w:rPr>
                <w:rFonts w:ascii="Calibri" w:hAnsi="Calibri" w:cs="Calibri"/>
                <w:b w:val="0"/>
                <w:bCs w:val="0"/>
              </w:rPr>
            </w:pPr>
            <w:r w:rsidRPr="00C22AA1">
              <w:rPr>
                <w:rFonts w:ascii="Calibri" w:hAnsi="Calibri" w:cs="Calibri"/>
                <w:b w:val="0"/>
                <w:bCs w:val="0"/>
              </w:rPr>
              <w:t>Data desfășurării</w:t>
            </w:r>
          </w:p>
        </w:tc>
        <w:tc>
          <w:tcPr>
            <w:tcW w:w="0" w:type="auto"/>
            <w:hideMark/>
          </w:tcPr>
          <w:p w14:paraId="60CF90BE" w14:textId="77777777" w:rsidR="00884753" w:rsidRPr="00C22AA1" w:rsidRDefault="00884753" w:rsidP="00C6197A">
            <w:pPr>
              <w:spacing w:line="259" w:lineRule="auto"/>
              <w:cnfStyle w:val="000000000000" w:firstRow="0" w:lastRow="0" w:firstColumn="0" w:lastColumn="0" w:oddVBand="0" w:evenVBand="0" w:oddHBand="0" w:evenHBand="0" w:firstRowFirstColumn="0" w:firstRowLastColumn="0" w:lastRowFirstColumn="0" w:lastRowLastColumn="0"/>
              <w:rPr>
                <w:rFonts w:ascii="Calibri" w:hAnsi="Calibri" w:cs="Calibri"/>
              </w:rPr>
            </w:pPr>
            <w:r>
              <w:rPr>
                <w:rFonts w:ascii="Calibri" w:hAnsi="Calibri" w:cs="Calibri"/>
              </w:rPr>
              <w:t>24.04.2026, ora 11:00</w:t>
            </w:r>
          </w:p>
        </w:tc>
      </w:tr>
      <w:tr w:rsidR="00884753" w:rsidRPr="00C22AA1" w14:paraId="114984FB" w14:textId="77777777" w:rsidTr="00C619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CB2FDCD" w14:textId="77777777" w:rsidR="00884753" w:rsidRPr="00C22AA1" w:rsidRDefault="00884753" w:rsidP="00C6197A">
            <w:pPr>
              <w:spacing w:line="259" w:lineRule="auto"/>
              <w:rPr>
                <w:rFonts w:ascii="Calibri" w:hAnsi="Calibri" w:cs="Calibri"/>
                <w:b w:val="0"/>
                <w:bCs w:val="0"/>
              </w:rPr>
            </w:pPr>
            <w:r w:rsidRPr="00C22AA1">
              <w:rPr>
                <w:rFonts w:ascii="Calibri" w:hAnsi="Calibri" w:cs="Calibri"/>
                <w:b w:val="0"/>
                <w:bCs w:val="0"/>
              </w:rPr>
              <w:t>Formatul întâlnirii</w:t>
            </w:r>
          </w:p>
        </w:tc>
        <w:tc>
          <w:tcPr>
            <w:tcW w:w="0" w:type="auto"/>
            <w:hideMark/>
          </w:tcPr>
          <w:p w14:paraId="09BF771F" w14:textId="77777777" w:rsidR="00884753" w:rsidRPr="00C22AA1" w:rsidRDefault="00884753" w:rsidP="00C6197A">
            <w:pPr>
              <w:spacing w:line="259"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C22AA1">
              <w:rPr>
                <w:rFonts w:ascii="Calibri" w:hAnsi="Calibri" w:cs="Calibri"/>
              </w:rPr>
              <w:t xml:space="preserve">Online </w:t>
            </w:r>
          </w:p>
        </w:tc>
      </w:tr>
      <w:tr w:rsidR="00884753" w:rsidRPr="00C22AA1" w14:paraId="4C313B4E" w14:textId="77777777" w:rsidTr="00C6197A">
        <w:tc>
          <w:tcPr>
            <w:cnfStyle w:val="001000000000" w:firstRow="0" w:lastRow="0" w:firstColumn="1" w:lastColumn="0" w:oddVBand="0" w:evenVBand="0" w:oddHBand="0" w:evenHBand="0" w:firstRowFirstColumn="0" w:firstRowLastColumn="0" w:lastRowFirstColumn="0" w:lastRowLastColumn="0"/>
            <w:tcW w:w="0" w:type="auto"/>
            <w:hideMark/>
          </w:tcPr>
          <w:p w14:paraId="4C7F44CF" w14:textId="77777777" w:rsidR="00884753" w:rsidRPr="00C22AA1" w:rsidRDefault="00884753" w:rsidP="00C6197A">
            <w:pPr>
              <w:spacing w:line="259" w:lineRule="auto"/>
              <w:rPr>
                <w:rFonts w:ascii="Calibri" w:hAnsi="Calibri" w:cs="Calibri"/>
                <w:b w:val="0"/>
                <w:bCs w:val="0"/>
              </w:rPr>
            </w:pPr>
            <w:r w:rsidRPr="00C22AA1">
              <w:rPr>
                <w:rFonts w:ascii="Calibri" w:hAnsi="Calibri" w:cs="Calibri"/>
                <w:b w:val="0"/>
                <w:bCs w:val="0"/>
              </w:rPr>
              <w:t>Participanți / instituții</w:t>
            </w:r>
          </w:p>
        </w:tc>
        <w:tc>
          <w:tcPr>
            <w:tcW w:w="0" w:type="auto"/>
            <w:hideMark/>
          </w:tcPr>
          <w:p w14:paraId="497F98CF" w14:textId="77777777" w:rsidR="00884753" w:rsidRDefault="00884753" w:rsidP="00C6197A">
            <w:pPr>
              <w:spacing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3126D2">
              <w:rPr>
                <w:rFonts w:ascii="Calibri" w:hAnsi="Calibri" w:cs="Calibri"/>
              </w:rPr>
              <w:t>Reprezentanți ai Cluj IT Cluster implicați în elaborarea, implementarea și consultanța proiectelor de digitalizare și competitivitate pentru IMM-uri</w:t>
            </w:r>
          </w:p>
          <w:p w14:paraId="3F160E59" w14:textId="77777777" w:rsidR="00884753" w:rsidRPr="00C22AA1" w:rsidRDefault="00884753" w:rsidP="00C6197A">
            <w:pPr>
              <w:spacing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rPr>
            </w:pPr>
            <w:r>
              <w:rPr>
                <w:rFonts w:ascii="Calibri" w:hAnsi="Calibri" w:cs="Calibri"/>
              </w:rPr>
              <w:t xml:space="preserve">Reprezentanți ai echipei de evaluare din partea </w:t>
            </w:r>
            <w:r w:rsidRPr="00EE1F0B">
              <w:rPr>
                <w:rFonts w:ascii="Calibri" w:hAnsi="Calibri" w:cs="Calibri"/>
              </w:rPr>
              <w:t>t33 SRL</w:t>
            </w:r>
          </w:p>
        </w:tc>
      </w:tr>
      <w:tr w:rsidR="00884753" w:rsidRPr="00C22AA1" w14:paraId="6230501D" w14:textId="77777777" w:rsidTr="00C619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7BD0A69" w14:textId="77777777" w:rsidR="00884753" w:rsidRPr="00C22AA1" w:rsidRDefault="00884753" w:rsidP="00C6197A">
            <w:pPr>
              <w:spacing w:line="259" w:lineRule="auto"/>
              <w:rPr>
                <w:rFonts w:ascii="Calibri" w:hAnsi="Calibri" w:cs="Calibri"/>
                <w:b w:val="0"/>
                <w:bCs w:val="0"/>
              </w:rPr>
            </w:pPr>
            <w:r w:rsidRPr="00C22AA1">
              <w:rPr>
                <w:rFonts w:ascii="Calibri" w:hAnsi="Calibri" w:cs="Calibri"/>
                <w:b w:val="0"/>
                <w:bCs w:val="0"/>
              </w:rPr>
              <w:t>Rolurile participanților</w:t>
            </w:r>
          </w:p>
        </w:tc>
        <w:tc>
          <w:tcPr>
            <w:tcW w:w="0" w:type="auto"/>
            <w:hideMark/>
          </w:tcPr>
          <w:p w14:paraId="4A452746" w14:textId="77777777" w:rsidR="00884753" w:rsidRDefault="00884753" w:rsidP="00C6197A">
            <w:pPr>
              <w:spacing w:after="120" w:line="259" w:lineRule="auto"/>
              <w:jc w:val="both"/>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3126D2">
              <w:rPr>
                <w:rFonts w:ascii="Calibri" w:hAnsi="Calibri" w:cs="Calibri"/>
              </w:rPr>
              <w:t>Experți și reprezentanți ai ecosistemului regional de inovare și digitalizare, cu experiență în proiectarea și implementarea intervențiilor finanțate pentru beneficiari publici și privați</w:t>
            </w:r>
          </w:p>
          <w:p w14:paraId="5A008D0F" w14:textId="77777777" w:rsidR="00884753" w:rsidRPr="00C22AA1" w:rsidRDefault="00884753" w:rsidP="00C6197A">
            <w:pPr>
              <w:spacing w:after="120" w:line="259" w:lineRule="auto"/>
              <w:jc w:val="both"/>
              <w:cnfStyle w:val="000000100000" w:firstRow="0" w:lastRow="0" w:firstColumn="0" w:lastColumn="0" w:oddVBand="0" w:evenVBand="0" w:oddHBand="1" w:evenHBand="0" w:firstRowFirstColumn="0" w:firstRowLastColumn="0" w:lastRowFirstColumn="0" w:lastRowLastColumn="0"/>
              <w:rPr>
                <w:rFonts w:ascii="Calibri" w:hAnsi="Calibri" w:cs="Calibri"/>
              </w:rPr>
            </w:pPr>
            <w:r>
              <w:rPr>
                <w:rFonts w:ascii="Calibri" w:hAnsi="Calibri" w:cs="Calibri"/>
              </w:rPr>
              <w:t>Experți din partea evaluatorului (t33 SRL): Expert cu rol de coordonator, Expert evaluare, Personal administrativ</w:t>
            </w:r>
          </w:p>
        </w:tc>
      </w:tr>
      <w:tr w:rsidR="00884753" w:rsidRPr="00C22AA1" w14:paraId="6CC1912A" w14:textId="77777777" w:rsidTr="00C6197A">
        <w:tc>
          <w:tcPr>
            <w:cnfStyle w:val="001000000000" w:firstRow="0" w:lastRow="0" w:firstColumn="1" w:lastColumn="0" w:oddVBand="0" w:evenVBand="0" w:oddHBand="0" w:evenHBand="0" w:firstRowFirstColumn="0" w:firstRowLastColumn="0" w:lastRowFirstColumn="0" w:lastRowLastColumn="0"/>
            <w:tcW w:w="0" w:type="auto"/>
            <w:hideMark/>
          </w:tcPr>
          <w:p w14:paraId="727E564D" w14:textId="77777777" w:rsidR="00884753" w:rsidRPr="00C22AA1" w:rsidRDefault="00884753" w:rsidP="00C6197A">
            <w:pPr>
              <w:spacing w:line="259" w:lineRule="auto"/>
              <w:rPr>
                <w:rFonts w:ascii="Calibri" w:hAnsi="Calibri" w:cs="Calibri"/>
                <w:b w:val="0"/>
                <w:bCs w:val="0"/>
              </w:rPr>
            </w:pPr>
            <w:r w:rsidRPr="00C22AA1">
              <w:rPr>
                <w:rFonts w:ascii="Calibri" w:hAnsi="Calibri" w:cs="Calibri"/>
                <w:b w:val="0"/>
                <w:bCs w:val="0"/>
              </w:rPr>
              <w:t>Criteriul de selecție al participanților</w:t>
            </w:r>
          </w:p>
        </w:tc>
        <w:tc>
          <w:tcPr>
            <w:tcW w:w="0" w:type="auto"/>
            <w:hideMark/>
          </w:tcPr>
          <w:p w14:paraId="73C1CC25" w14:textId="77777777" w:rsidR="00884753" w:rsidRPr="00C22AA1" w:rsidRDefault="00884753" w:rsidP="00C6197A">
            <w:pPr>
              <w:spacing w:line="259"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DF00F9">
              <w:rPr>
                <w:rFonts w:ascii="Calibri" w:hAnsi="Calibri" w:cs="Calibri"/>
              </w:rPr>
              <w:t>Participanții au fost selectați pe baza experienței relevante în domeniul digitalizării IMM-urilor, a implicării directe în proiecte finanțate prin programe europene și a expertizei privind dezvoltarea ecosistemului regional de inovare și tehnologie</w:t>
            </w:r>
          </w:p>
        </w:tc>
      </w:tr>
      <w:tr w:rsidR="00884753" w:rsidRPr="00C22AA1" w14:paraId="3AC8B6C1" w14:textId="77777777" w:rsidTr="00C619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8EADD7C" w14:textId="77777777" w:rsidR="00884753" w:rsidRPr="00C22AA1" w:rsidRDefault="00884753" w:rsidP="00C6197A">
            <w:pPr>
              <w:spacing w:line="259" w:lineRule="auto"/>
              <w:rPr>
                <w:rFonts w:ascii="Calibri" w:hAnsi="Calibri" w:cs="Calibri"/>
                <w:b w:val="0"/>
                <w:bCs w:val="0"/>
              </w:rPr>
            </w:pPr>
            <w:r w:rsidRPr="00C22AA1">
              <w:rPr>
                <w:rFonts w:ascii="Calibri" w:hAnsi="Calibri" w:cs="Calibri"/>
                <w:b w:val="0"/>
                <w:bCs w:val="0"/>
              </w:rPr>
              <w:t>Ghid utilizat</w:t>
            </w:r>
          </w:p>
        </w:tc>
        <w:tc>
          <w:tcPr>
            <w:tcW w:w="0" w:type="auto"/>
            <w:hideMark/>
          </w:tcPr>
          <w:p w14:paraId="453FC72C" w14:textId="77777777" w:rsidR="00884753" w:rsidRPr="00C22AA1" w:rsidRDefault="00884753" w:rsidP="00C6197A">
            <w:pPr>
              <w:spacing w:line="259" w:lineRule="auto"/>
              <w:jc w:val="both"/>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C22AA1">
              <w:rPr>
                <w:rFonts w:ascii="Calibri" w:hAnsi="Calibri" w:cs="Calibri"/>
              </w:rPr>
              <w:t xml:space="preserve">Grila de </w:t>
            </w:r>
            <w:r>
              <w:rPr>
                <w:rFonts w:ascii="Calibri" w:hAnsi="Calibri" w:cs="Calibri"/>
              </w:rPr>
              <w:t xml:space="preserve">panel de experți </w:t>
            </w:r>
            <w:r w:rsidRPr="00C22AA1">
              <w:rPr>
                <w:rFonts w:ascii="Calibri" w:hAnsi="Calibri" w:cs="Calibri"/>
              </w:rPr>
              <w:t xml:space="preserve">inclusă în Anexa </w:t>
            </w:r>
            <w:r>
              <w:rPr>
                <w:rFonts w:ascii="Calibri" w:hAnsi="Calibri" w:cs="Calibri"/>
              </w:rPr>
              <w:t xml:space="preserve">9.2 - </w:t>
            </w:r>
            <w:r w:rsidRPr="00675CFB">
              <w:rPr>
                <w:rFonts w:ascii="Calibri" w:hAnsi="Calibri" w:cs="Calibri"/>
              </w:rPr>
              <w:t>Metodologia utilizată, inclusiv instrumentele de evaluare</w:t>
            </w:r>
          </w:p>
        </w:tc>
      </w:tr>
      <w:tr w:rsidR="00884753" w:rsidRPr="00C22AA1" w14:paraId="4A61634C" w14:textId="77777777" w:rsidTr="00C6197A">
        <w:tc>
          <w:tcPr>
            <w:cnfStyle w:val="001000000000" w:firstRow="0" w:lastRow="0" w:firstColumn="1" w:lastColumn="0" w:oddVBand="0" w:evenVBand="0" w:oddHBand="0" w:evenHBand="0" w:firstRowFirstColumn="0" w:firstRowLastColumn="0" w:lastRowFirstColumn="0" w:lastRowLastColumn="0"/>
            <w:tcW w:w="0" w:type="auto"/>
            <w:hideMark/>
          </w:tcPr>
          <w:p w14:paraId="4117E6CD" w14:textId="77777777" w:rsidR="00884753" w:rsidRPr="00C22AA1" w:rsidRDefault="00884753" w:rsidP="00C6197A">
            <w:pPr>
              <w:spacing w:line="259" w:lineRule="auto"/>
              <w:rPr>
                <w:rFonts w:ascii="Calibri" w:hAnsi="Calibri" w:cs="Calibri"/>
                <w:b w:val="0"/>
                <w:bCs w:val="0"/>
              </w:rPr>
            </w:pPr>
            <w:r w:rsidRPr="00C22AA1">
              <w:rPr>
                <w:rFonts w:ascii="Calibri" w:hAnsi="Calibri" w:cs="Calibri"/>
                <w:b w:val="0"/>
                <w:bCs w:val="0"/>
              </w:rPr>
              <w:t>Teme discutate</w:t>
            </w:r>
          </w:p>
        </w:tc>
        <w:tc>
          <w:tcPr>
            <w:tcW w:w="0" w:type="auto"/>
            <w:hideMark/>
          </w:tcPr>
          <w:p w14:paraId="4CFE1466" w14:textId="77777777" w:rsidR="00884753" w:rsidRPr="00C22AA1" w:rsidRDefault="00884753" w:rsidP="00C6197A">
            <w:pPr>
              <w:spacing w:line="259"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884753">
              <w:rPr>
                <w:rFonts w:ascii="Calibri" w:hAnsi="Calibri" w:cs="Calibri"/>
              </w:rPr>
              <w:t>Înțelegerea conceptului de digitalizare la nivelul IMM-urilor; relevanța și eligibilitatea investițiilor; costurile digitalizării; standardizarea soluțiilor IT; nevoi neacoperite; claritatea ghidurilor și predictibilitatea evaluării; capacitatea administrativă și competențele digitale; experiența privind apelul 1.2.1; comparația cu PNRR și alte intervenții; recomandări privind viitoarele mecanisme de sprijin</w:t>
            </w:r>
          </w:p>
        </w:tc>
      </w:tr>
      <w:tr w:rsidR="00884753" w:rsidRPr="00C22AA1" w14:paraId="4EE71C57" w14:textId="77777777" w:rsidTr="00C619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52B3713" w14:textId="77777777" w:rsidR="00884753" w:rsidRPr="00C22AA1" w:rsidRDefault="00884753" w:rsidP="00C6197A">
            <w:pPr>
              <w:spacing w:line="259" w:lineRule="auto"/>
              <w:rPr>
                <w:rFonts w:ascii="Calibri" w:hAnsi="Calibri" w:cs="Calibri"/>
                <w:b w:val="0"/>
                <w:bCs w:val="0"/>
              </w:rPr>
            </w:pPr>
            <w:r w:rsidRPr="00C22AA1">
              <w:rPr>
                <w:rFonts w:ascii="Calibri" w:hAnsi="Calibri" w:cs="Calibri"/>
                <w:b w:val="0"/>
                <w:bCs w:val="0"/>
              </w:rPr>
              <w:t>Modul de validare a notelor și concluziilor</w:t>
            </w:r>
          </w:p>
        </w:tc>
        <w:tc>
          <w:tcPr>
            <w:tcW w:w="0" w:type="auto"/>
            <w:hideMark/>
          </w:tcPr>
          <w:p w14:paraId="35EC8CEC" w14:textId="77777777" w:rsidR="00884753" w:rsidRPr="00C22AA1" w:rsidRDefault="00884753" w:rsidP="00C6197A">
            <w:pPr>
              <w:spacing w:line="259" w:lineRule="auto"/>
              <w:jc w:val="both"/>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884753">
              <w:rPr>
                <w:rFonts w:ascii="Calibri" w:hAnsi="Calibri" w:cs="Calibri"/>
              </w:rPr>
              <w:t>Concluziile au fost elaborate pe baza notelor rezultate din discuții și validate intern în cadrul echipei de evaluare prin triangulare cu rezultatele interviurilor, focus grupului, sondajului și analizei documentare</w:t>
            </w:r>
          </w:p>
        </w:tc>
      </w:tr>
    </w:tbl>
    <w:p w14:paraId="05119E55" w14:textId="77777777" w:rsidR="00036A3F" w:rsidRPr="00243C5A" w:rsidRDefault="00036A3F" w:rsidP="00243C5A">
      <w:pPr>
        <w:jc w:val="both"/>
        <w:rPr>
          <w:rFonts w:ascii="Calibri" w:hAnsi="Calibri" w:cs="Calibri"/>
          <w:b/>
          <w:bCs/>
        </w:rPr>
      </w:pPr>
    </w:p>
    <w:p w14:paraId="6B662F57" w14:textId="42AF1B39" w:rsidR="00243C5A" w:rsidRPr="00243C5A" w:rsidRDefault="00243C5A" w:rsidP="00243C5A">
      <w:pPr>
        <w:jc w:val="both"/>
        <w:rPr>
          <w:rStyle w:val="y2iqfc"/>
          <w:rFonts w:eastAsiaTheme="majorEastAsia"/>
          <w:color w:val="0F4761" w:themeColor="accent1" w:themeShade="BF"/>
          <w:sz w:val="24"/>
          <w:szCs w:val="24"/>
        </w:rPr>
      </w:pPr>
      <w:r w:rsidRPr="00243C5A">
        <w:rPr>
          <w:rStyle w:val="y2iqfc"/>
          <w:rFonts w:eastAsiaTheme="majorEastAsia"/>
          <w:color w:val="0F4761" w:themeColor="accent1" w:themeShade="BF"/>
          <w:sz w:val="24"/>
          <w:szCs w:val="24"/>
        </w:rPr>
        <w:t>Introducere</w:t>
      </w:r>
    </w:p>
    <w:p w14:paraId="2D674E40" w14:textId="77777777" w:rsidR="00243C5A" w:rsidRPr="00243C5A" w:rsidRDefault="00243C5A" w:rsidP="004A5541">
      <w:pPr>
        <w:spacing w:before="120" w:after="120" w:line="276" w:lineRule="auto"/>
        <w:jc w:val="both"/>
        <w:rPr>
          <w:rFonts w:ascii="Calibri" w:hAnsi="Calibri" w:cs="Calibri"/>
        </w:rPr>
      </w:pPr>
      <w:r w:rsidRPr="00243C5A">
        <w:rPr>
          <w:rFonts w:ascii="Calibri" w:hAnsi="Calibri" w:cs="Calibri"/>
          <w:b/>
          <w:bCs/>
        </w:rPr>
        <w:t>Digitalizarea IMM-urilor</w:t>
      </w:r>
      <w:r w:rsidRPr="00243C5A">
        <w:rPr>
          <w:rFonts w:ascii="Calibri" w:hAnsi="Calibri" w:cs="Calibri"/>
        </w:rPr>
        <w:t xml:space="preserve"> a fost analizată în cadrul evaluării </w:t>
      </w:r>
      <w:r w:rsidRPr="00243C5A">
        <w:rPr>
          <w:rFonts w:ascii="Calibri" w:hAnsi="Calibri" w:cs="Calibri"/>
          <w:b/>
          <w:bCs/>
        </w:rPr>
        <w:t>Programului Regional Nord-Vest</w:t>
      </w:r>
      <w:r w:rsidRPr="00243C5A">
        <w:rPr>
          <w:rFonts w:ascii="Calibri" w:hAnsi="Calibri" w:cs="Calibri"/>
        </w:rPr>
        <w:t>, cu accent pe identificarea elementelor care au funcționat, precum și a celor care nu au funcționat în implementarea intervențiilor dedicate. De asemenea, analiza a urmărit relevanța acestor intervenții în raport cu nevoile actuale ale întreprinderilor mici și mijlocii.</w:t>
      </w:r>
    </w:p>
    <w:p w14:paraId="6F31B76D" w14:textId="69FECFC9" w:rsidR="00243C5A" w:rsidRPr="00243C5A" w:rsidRDefault="00243C5A" w:rsidP="004A5541">
      <w:pPr>
        <w:spacing w:before="120" w:after="120" w:line="276" w:lineRule="auto"/>
        <w:jc w:val="both"/>
        <w:rPr>
          <w:rFonts w:ascii="Calibri" w:hAnsi="Calibri" w:cs="Calibri"/>
        </w:rPr>
      </w:pPr>
      <w:r w:rsidRPr="00243C5A">
        <w:rPr>
          <w:rFonts w:ascii="Calibri" w:hAnsi="Calibri" w:cs="Calibri"/>
        </w:rPr>
        <w:t>Contribuțiile au fost formulate de reprezentanți ai Cluj IT Cluster</w:t>
      </w:r>
      <w:r w:rsidR="008209B7">
        <w:rPr>
          <w:rFonts w:ascii="Calibri" w:hAnsi="Calibri" w:cs="Calibri"/>
        </w:rPr>
        <w:t xml:space="preserve"> </w:t>
      </w:r>
      <w:r w:rsidRPr="00243C5A">
        <w:rPr>
          <w:rFonts w:ascii="Calibri" w:hAnsi="Calibri" w:cs="Calibri"/>
        </w:rPr>
        <w:t>pe baza experienței directe în elaborarea și implementarea proiectelor finanțate pentru beneficiari publici și privați.</w:t>
      </w:r>
    </w:p>
    <w:p w14:paraId="6156CA0E" w14:textId="77777777" w:rsidR="00243C5A" w:rsidRPr="00243C5A" w:rsidRDefault="00243C5A" w:rsidP="004A5541">
      <w:pPr>
        <w:spacing w:before="120" w:after="120" w:line="276" w:lineRule="auto"/>
        <w:jc w:val="both"/>
        <w:rPr>
          <w:rFonts w:ascii="Calibri" w:hAnsi="Calibri" w:cs="Calibri"/>
        </w:rPr>
      </w:pPr>
      <w:r w:rsidRPr="00243C5A">
        <w:rPr>
          <w:rFonts w:ascii="Calibri" w:hAnsi="Calibri" w:cs="Calibri"/>
        </w:rPr>
        <w:lastRenderedPageBreak/>
        <w:t>Aceștia gestionează proiecte la nivelul regiunii Nord-Vest, reprezentând aproximativ 10% din granturile acordate. Activitatea lor include atât proiecte pentru beneficiari publici, cât și pentru beneficiari privați, precum și implicare directă în promovarea și utilizarea instrumentelor de finanțare pentru digitalizare, inovare și dezvoltare, în cadrul ecosistemului Cluj IT.</w:t>
      </w:r>
    </w:p>
    <w:p w14:paraId="39CA6DA1" w14:textId="77777777" w:rsidR="00243C5A" w:rsidRPr="00243C5A" w:rsidRDefault="00243C5A" w:rsidP="00243C5A">
      <w:pPr>
        <w:jc w:val="both"/>
        <w:rPr>
          <w:rStyle w:val="y2iqfc"/>
          <w:rFonts w:eastAsiaTheme="majorEastAsia"/>
          <w:color w:val="0F4761" w:themeColor="accent1" w:themeShade="BF"/>
          <w:sz w:val="24"/>
          <w:szCs w:val="24"/>
        </w:rPr>
      </w:pPr>
      <w:r w:rsidRPr="00243C5A">
        <w:rPr>
          <w:rStyle w:val="y2iqfc"/>
          <w:rFonts w:eastAsiaTheme="majorEastAsia"/>
          <w:color w:val="0F4761" w:themeColor="accent1" w:themeShade="BF"/>
          <w:sz w:val="24"/>
          <w:szCs w:val="24"/>
        </w:rPr>
        <w:t>Percepția asupra provocărilor privind digitalizarea IMM-urilor</w:t>
      </w:r>
    </w:p>
    <w:p w14:paraId="25DC7F66" w14:textId="77777777" w:rsidR="00243C5A" w:rsidRPr="00243C5A" w:rsidRDefault="00243C5A" w:rsidP="004A5541">
      <w:pPr>
        <w:spacing w:before="120" w:after="120" w:line="276" w:lineRule="auto"/>
        <w:jc w:val="both"/>
        <w:rPr>
          <w:rFonts w:ascii="Calibri" w:hAnsi="Calibri" w:cs="Calibri"/>
        </w:rPr>
      </w:pPr>
      <w:r w:rsidRPr="00243C5A">
        <w:rPr>
          <w:rFonts w:ascii="Calibri" w:hAnsi="Calibri" w:cs="Calibri"/>
        </w:rPr>
        <w:t>La prima întrebare, discuția s-a concentrat asupra principalelor provocări și probleme privind digitalizarea IMM-urilor, din perspectiva experienței practice și a interacțiunii cu beneficiari și instituțiile implicate. S-a subliniat faptul că digitalizarea este un concept tot mai prezent, dar care este înțeles diferit în funcție de nivelul de dezvoltare al firmelor. Pentru unele companii, digitalizarea presupune procese inovative, automatizare sau tehnologizare, în timp ce pentru firme aflate într-un stadiu incipient aceasta este asociată cu achiziția de echipamente care permit trecerea activităților în format electronic.</w:t>
      </w:r>
    </w:p>
    <w:p w14:paraId="17103197" w14:textId="5EFF3A45" w:rsidR="00243C5A" w:rsidRPr="00243C5A" w:rsidRDefault="008209B7" w:rsidP="004A5541">
      <w:pPr>
        <w:spacing w:before="120" w:after="120" w:line="276" w:lineRule="auto"/>
        <w:jc w:val="both"/>
        <w:rPr>
          <w:rFonts w:ascii="Calibri" w:hAnsi="Calibri" w:cs="Calibri"/>
        </w:rPr>
      </w:pPr>
      <w:r>
        <w:rPr>
          <w:rFonts w:ascii="Calibri" w:hAnsi="Calibri" w:cs="Calibri"/>
        </w:rPr>
        <w:t>Reprezentanții Cluj IT Cluster</w:t>
      </w:r>
      <w:r w:rsidR="00243C5A" w:rsidRPr="00243C5A">
        <w:rPr>
          <w:rFonts w:ascii="Calibri" w:hAnsi="Calibri" w:cs="Calibri"/>
        </w:rPr>
        <w:t xml:space="preserve"> au evidențiat o problemă de bază: un număr semnificativ de IMM-uri nu înțeleg corect ce înseamnă digitalizarea. Această constatare rezultă atât din experiența directă în implementarea proiectelor finanțate prin PNRR, în special granturile de 100.000 euro pentru digitalizarea IMM-urilor, cât și din experiența aferentă Programului Regional Nord-Vest, în special în cadrul apelului 1.2.1.</w:t>
      </w:r>
    </w:p>
    <w:p w14:paraId="634B36E9" w14:textId="77777777" w:rsidR="00243C5A" w:rsidRPr="00243C5A" w:rsidRDefault="00243C5A" w:rsidP="004A5541">
      <w:pPr>
        <w:spacing w:before="120" w:after="120" w:line="276" w:lineRule="auto"/>
        <w:jc w:val="both"/>
        <w:rPr>
          <w:rFonts w:ascii="Calibri" w:hAnsi="Calibri" w:cs="Calibri"/>
        </w:rPr>
      </w:pPr>
      <w:r w:rsidRPr="00243C5A">
        <w:rPr>
          <w:rFonts w:ascii="Calibri" w:hAnsi="Calibri" w:cs="Calibri"/>
        </w:rPr>
        <w:t>Potrivit acestora, digitalizarea este frecvent interpretată ca simplă achiziție de echipamente hardware. În această logică, firmele consideră că se digitalizează prin achiziția de laptopuri, servere sau alte echipamente utilizate în procesele de business, uneori completată de achiziția de licențe software standard. În realitate, această abordare reprezintă mai degrabă o înlocuire a echipamentelor existente decât o transformare digitală a activității.</w:t>
      </w:r>
    </w:p>
    <w:p w14:paraId="5786664E" w14:textId="77777777" w:rsidR="00243C5A" w:rsidRPr="00243C5A" w:rsidRDefault="00243C5A" w:rsidP="004A5541">
      <w:pPr>
        <w:spacing w:before="120" w:after="120" w:line="276" w:lineRule="auto"/>
        <w:jc w:val="both"/>
        <w:rPr>
          <w:rFonts w:ascii="Calibri" w:hAnsi="Calibri" w:cs="Calibri"/>
        </w:rPr>
      </w:pPr>
      <w:r w:rsidRPr="00243C5A">
        <w:rPr>
          <w:rFonts w:ascii="Calibri" w:hAnsi="Calibri" w:cs="Calibri"/>
        </w:rPr>
        <w:t>S-a subliniat că această interpretare limitată este influențată inclusiv de modul în care au fost structurate unele apeluri de finanțare, precum și de modul în care furnizorii de soluții IT își construiesc ofertele, orientând beneficiarii către soluții standardizate, bazate pe pachete de echipamente și licențe, fără o analiză reală a proceselor interne.</w:t>
      </w:r>
    </w:p>
    <w:p w14:paraId="5A0F9A1F" w14:textId="77777777" w:rsidR="00243C5A" w:rsidRPr="00243C5A" w:rsidRDefault="00243C5A" w:rsidP="004A5541">
      <w:pPr>
        <w:spacing w:before="120" w:after="120" w:line="276" w:lineRule="auto"/>
        <w:jc w:val="both"/>
        <w:rPr>
          <w:rFonts w:ascii="Calibri" w:hAnsi="Calibri" w:cs="Calibri"/>
        </w:rPr>
      </w:pPr>
      <w:r w:rsidRPr="00243C5A">
        <w:rPr>
          <w:rFonts w:ascii="Calibri" w:hAnsi="Calibri" w:cs="Calibri"/>
        </w:rPr>
        <w:t>Din această perspectivă, digitalizarea ar trebui să vizeze procesele de business realizate manual, care pot fi transformate prin soluții software adaptate nevoilor specifice ale fiecărei companii. Scopul nu este doar dotarea tehnică, ci eficientizarea activității prin reducerea timpilor de lucru, automatizarea fluxurilor și creșterea capacității de gestionare a informației.</w:t>
      </w:r>
    </w:p>
    <w:p w14:paraId="239884A9" w14:textId="77777777" w:rsidR="00243C5A" w:rsidRPr="00243C5A" w:rsidRDefault="00243C5A" w:rsidP="004A5541">
      <w:pPr>
        <w:spacing w:before="120" w:after="120" w:line="276" w:lineRule="auto"/>
        <w:jc w:val="both"/>
        <w:rPr>
          <w:rFonts w:ascii="Calibri" w:hAnsi="Calibri" w:cs="Calibri"/>
        </w:rPr>
      </w:pPr>
      <w:r w:rsidRPr="00243C5A">
        <w:rPr>
          <w:rFonts w:ascii="Calibri" w:hAnsi="Calibri" w:cs="Calibri"/>
        </w:rPr>
        <w:t>S-a menționat, de asemenea, că dificultatea nu este doar la nivelul beneficiarilor, ci și în procesul de definire și interpretare a conceptului de digitalizare în cadrul apelurilor de finanțare. În cazul apelului 1.2.1, această lipsă de claritate s-a reflectat în modul de elaborare a ghidului solicitantului, ceea ce a generat neclarități atât în etapa de depunere, cât și în cea de evaluare. În acest context, a fost menționată experiența depunerii unui proiect în cadrul acestui apel, care a fost respins.</w:t>
      </w:r>
    </w:p>
    <w:p w14:paraId="2D26025D" w14:textId="77777777" w:rsidR="00243C5A" w:rsidRPr="00243C5A" w:rsidRDefault="00243C5A" w:rsidP="00243C5A">
      <w:pPr>
        <w:spacing w:before="120" w:after="120"/>
        <w:jc w:val="both"/>
        <w:rPr>
          <w:rStyle w:val="y2iqfc"/>
          <w:rFonts w:eastAsiaTheme="majorEastAsia"/>
          <w:color w:val="0F4761" w:themeColor="accent1" w:themeShade="BF"/>
          <w:sz w:val="24"/>
          <w:szCs w:val="24"/>
        </w:rPr>
      </w:pPr>
      <w:r w:rsidRPr="00243C5A">
        <w:rPr>
          <w:rStyle w:val="y2iqfc"/>
          <w:rFonts w:eastAsiaTheme="majorEastAsia"/>
          <w:color w:val="0F4761" w:themeColor="accent1" w:themeShade="BF"/>
          <w:sz w:val="24"/>
          <w:szCs w:val="24"/>
        </w:rPr>
        <w:t>Costurile digitalizării și dificultatea estimării acestora</w:t>
      </w:r>
    </w:p>
    <w:p w14:paraId="263581C1" w14:textId="77777777" w:rsidR="00243C5A" w:rsidRPr="00243C5A" w:rsidRDefault="00243C5A" w:rsidP="004A5541">
      <w:pPr>
        <w:spacing w:before="120" w:after="120" w:line="276" w:lineRule="auto"/>
        <w:jc w:val="both"/>
        <w:rPr>
          <w:rFonts w:ascii="Calibri" w:hAnsi="Calibri" w:cs="Calibri"/>
        </w:rPr>
      </w:pPr>
      <w:r w:rsidRPr="00243C5A">
        <w:rPr>
          <w:rFonts w:ascii="Calibri" w:hAnsi="Calibri" w:cs="Calibri"/>
        </w:rPr>
        <w:t xml:space="preserve">O altă problemă importantă evidențiată de respondenți este cea a costurilor. Pe piața serviciilor IT, digitalizarea unui proces implică, în general, costuri ridicate, iar antreprenorii trebuie să evalueze în ce măsură investiția poate fi amortizată și în cât timp poate fi recuperată. De exemplu, o investiție de </w:t>
      </w:r>
      <w:r w:rsidRPr="00243C5A">
        <w:rPr>
          <w:rFonts w:ascii="Calibri" w:hAnsi="Calibri" w:cs="Calibri"/>
        </w:rPr>
        <w:lastRenderedPageBreak/>
        <w:t>100.000-200.000 euro într-un proces de digitalizare poate să nu fie justificată economic în absența unei surse de finanțare nerambursabilă.</w:t>
      </w:r>
    </w:p>
    <w:p w14:paraId="6DBF8607" w14:textId="77777777" w:rsidR="00243C5A" w:rsidRPr="00243C5A" w:rsidRDefault="00243C5A" w:rsidP="004A5541">
      <w:pPr>
        <w:spacing w:before="120" w:after="120" w:line="276" w:lineRule="auto"/>
        <w:jc w:val="both"/>
        <w:rPr>
          <w:rFonts w:ascii="Calibri" w:hAnsi="Calibri" w:cs="Calibri"/>
        </w:rPr>
      </w:pPr>
      <w:r w:rsidRPr="00243C5A">
        <w:rPr>
          <w:rFonts w:ascii="Calibri" w:hAnsi="Calibri" w:cs="Calibri"/>
        </w:rPr>
        <w:t>S-a subliniat că finanțările de tipul celei disponibile prin apelul 1.2.1, unde sprijinul nerambursabil putea ajunge la 90%, iar contribuția beneficiarului era de 10%, pot face astfel de investiții atractive. În lipsa acestui tip de sprijin, multe firme nu ar decide să implementeze procese de digitalizare. A fost oferit și exemplul propriei firme, implicată într-un proces de digitalizare a proceselor interne cu finanțare europeană, fiind menționat că o astfel de investiție nu ar fi fost realizată fără acest sprijin, din cauza costurilor ridicate.</w:t>
      </w:r>
    </w:p>
    <w:p w14:paraId="6785AE3B" w14:textId="77777777" w:rsidR="00243C5A" w:rsidRPr="00243C5A" w:rsidRDefault="00243C5A" w:rsidP="004A5541">
      <w:pPr>
        <w:spacing w:before="120" w:after="120" w:line="276" w:lineRule="auto"/>
        <w:jc w:val="both"/>
        <w:rPr>
          <w:rFonts w:ascii="Calibri" w:hAnsi="Calibri" w:cs="Calibri"/>
        </w:rPr>
      </w:pPr>
      <w:r w:rsidRPr="00243C5A">
        <w:rPr>
          <w:rFonts w:ascii="Calibri" w:hAnsi="Calibri" w:cs="Calibri"/>
        </w:rPr>
        <w:t>De asemenea, a fost evidențiat faptul că estimările inițiale de cost pot fi dificil de realizat, fiind oferit exemplul unui proiect în care costurile agreate inițial cu furnizorul IT au crescut ulterior cu aproximativ 30%. Această situație indică atât dificultăți în estimarea internă a costurilor, cât și provocări în relația cu furnizorii de servicii IT.</w:t>
      </w:r>
    </w:p>
    <w:p w14:paraId="0E79F8A9" w14:textId="77777777" w:rsidR="00243C5A" w:rsidRPr="00243C5A" w:rsidRDefault="00243C5A" w:rsidP="004A5541">
      <w:pPr>
        <w:spacing w:before="120" w:after="120" w:line="276" w:lineRule="auto"/>
        <w:jc w:val="both"/>
        <w:rPr>
          <w:rFonts w:ascii="Calibri" w:hAnsi="Calibri" w:cs="Calibri"/>
        </w:rPr>
      </w:pPr>
      <w:r w:rsidRPr="00243C5A">
        <w:rPr>
          <w:rFonts w:ascii="Calibri" w:hAnsi="Calibri" w:cs="Calibri"/>
        </w:rPr>
        <w:t>Un alt aspect semnalat vizează modul în care sunt furnizate soluțiile IT. O parte semnificativă a ofertelor existente pe piață sunt standardizate, fiind orientate către soluții de tip contabilitate, CRM sau ERP. Adaptarea acestor soluții la procesele specifice ale IMM-urilor implică costuri suplimentare semnificative, fiecare modul adițional putând varia între 1.000 și peste 5.000 euro, în funcție de complexitate.</w:t>
      </w:r>
    </w:p>
    <w:p w14:paraId="78451C18" w14:textId="77777777" w:rsidR="00243C5A" w:rsidRPr="00243C5A" w:rsidRDefault="00243C5A" w:rsidP="004A5541">
      <w:pPr>
        <w:spacing w:before="120" w:after="120" w:line="276" w:lineRule="auto"/>
        <w:jc w:val="both"/>
        <w:rPr>
          <w:rFonts w:ascii="Calibri" w:hAnsi="Calibri" w:cs="Calibri"/>
        </w:rPr>
      </w:pPr>
      <w:r w:rsidRPr="00243C5A">
        <w:rPr>
          <w:rFonts w:ascii="Calibri" w:hAnsi="Calibri" w:cs="Calibri"/>
        </w:rPr>
        <w:t>Totodată, s-a menționat că soluțiile disponibile sunt, în multe cazuri, concepute pentru companii mari sau multinaționale, ceea ce limitează relevanța acestora pentru IMM-uri. Pentru o companie mică sau medie, utilizarea unui sistem ERP complex poate fi ineficientă, în condițiile în care doar o parte redusă din funcționalități este efectiv utilizată, deși costurile sunt suportate integral. În același timp, dezvoltarea unor soluții personalizate implică investiții ridicate, care nu sunt, în general, sustenabile pentru firmele de dimensiuni reduse.</w:t>
      </w:r>
    </w:p>
    <w:p w14:paraId="0E53C779" w14:textId="77777777" w:rsidR="00243C5A" w:rsidRPr="00243C5A" w:rsidRDefault="00243C5A" w:rsidP="00243C5A">
      <w:pPr>
        <w:spacing w:before="120" w:after="120"/>
        <w:jc w:val="both"/>
        <w:rPr>
          <w:rStyle w:val="y2iqfc"/>
          <w:rFonts w:eastAsiaTheme="majorEastAsia"/>
          <w:color w:val="0F4761" w:themeColor="accent1" w:themeShade="BF"/>
          <w:sz w:val="24"/>
          <w:szCs w:val="24"/>
        </w:rPr>
      </w:pPr>
      <w:r w:rsidRPr="00243C5A">
        <w:rPr>
          <w:rStyle w:val="y2iqfc"/>
          <w:rFonts w:eastAsiaTheme="majorEastAsia"/>
          <w:color w:val="0F4761" w:themeColor="accent1" w:themeShade="BF"/>
          <w:sz w:val="24"/>
          <w:szCs w:val="24"/>
        </w:rPr>
        <w:t>Riscul standardizării și lipsa adaptării la nevoi specifice</w:t>
      </w:r>
    </w:p>
    <w:p w14:paraId="3F181F16" w14:textId="77777777" w:rsidR="00243C5A" w:rsidRPr="00243C5A" w:rsidRDefault="00243C5A" w:rsidP="004A5541">
      <w:pPr>
        <w:spacing w:before="120" w:after="120" w:line="276" w:lineRule="auto"/>
        <w:jc w:val="both"/>
        <w:rPr>
          <w:rFonts w:ascii="Calibri" w:hAnsi="Calibri" w:cs="Calibri"/>
        </w:rPr>
      </w:pPr>
      <w:r w:rsidRPr="00243C5A">
        <w:rPr>
          <w:rFonts w:ascii="Calibri" w:hAnsi="Calibri" w:cs="Calibri"/>
        </w:rPr>
        <w:t>Echipa de evaluare a evidențiat că această perspectivă confirmă constatări deja identificate la nivelul analizei, în special tendința de standardizare a soluțiilor oferite de firmele IT și de consultanță, ceea ce conduce la implementarea unor soluții care nu răspund nevoilor specifice ale IMM-urilor, ci se aliniază unor produse standard existente pe piață. În același context, a fost ridicată problema nevoilor care rămân neacoperite, având în vedere că apelul a finanțat un număr redus de proiecte (aproximativ 37 contractate dintr-un număr mult mai mare de aplicații depuse), fiind pusă în discuție capacitatea viitoarelor intervenții de a răspunde nevoilor specifice ale IMM-urilor, nu doar unor cerințe standardizate.</w:t>
      </w:r>
    </w:p>
    <w:p w14:paraId="1B6D5654" w14:textId="51E3D797" w:rsidR="00243C5A" w:rsidRPr="00243C5A" w:rsidRDefault="00243C5A" w:rsidP="004A5541">
      <w:pPr>
        <w:spacing w:before="120" w:after="120" w:line="276" w:lineRule="auto"/>
        <w:jc w:val="both"/>
        <w:rPr>
          <w:rFonts w:ascii="Calibri" w:hAnsi="Calibri" w:cs="Calibri"/>
        </w:rPr>
      </w:pPr>
      <w:r w:rsidRPr="00243C5A">
        <w:rPr>
          <w:rFonts w:ascii="Calibri" w:hAnsi="Calibri" w:cs="Calibri"/>
        </w:rPr>
        <w:t xml:space="preserve">În acest context, </w:t>
      </w:r>
      <w:r w:rsidR="008209B7">
        <w:rPr>
          <w:rFonts w:ascii="Calibri" w:hAnsi="Calibri" w:cs="Calibri"/>
        </w:rPr>
        <w:t>cei doi</w:t>
      </w:r>
      <w:r w:rsidRPr="00243C5A">
        <w:rPr>
          <w:rFonts w:ascii="Calibri" w:hAnsi="Calibri" w:cs="Calibri"/>
        </w:rPr>
        <w:t xml:space="preserve"> au subliniat necesitatea unei definiri mai clare a digitalizării din perspectiva finanțatorului, menționând că, în cazul apelului 1.2.1, lipsa acestei clarificări a generat dificultăți în înțelegerea tipurilor de activități eligibile. De asemenea, aceștia au evidențiat faptul că apelul nu a diferențiat suficient între firmele de producție și cele de servicii.</w:t>
      </w:r>
    </w:p>
    <w:p w14:paraId="4C9584FE" w14:textId="77777777" w:rsidR="00243C5A" w:rsidRPr="00243C5A" w:rsidRDefault="00243C5A" w:rsidP="004A5541">
      <w:pPr>
        <w:spacing w:before="120" w:after="120" w:line="276" w:lineRule="auto"/>
        <w:jc w:val="both"/>
        <w:rPr>
          <w:rFonts w:ascii="Calibri" w:hAnsi="Calibri" w:cs="Calibri"/>
        </w:rPr>
      </w:pPr>
      <w:r w:rsidRPr="00243C5A">
        <w:rPr>
          <w:rFonts w:ascii="Calibri" w:hAnsi="Calibri" w:cs="Calibri"/>
        </w:rPr>
        <w:t>Reprezentanții Cluj IT au explicat că, pentru firmele de producție, digitalizarea poate viza atât procesele interne (de exemplu, contabilitate sau resurse umane), cât și automatizarea proceselor de producție, inclusiv prin achiziția de echipamente cu comandă digitală. În cazul firmelor de servicii, aceste dimensiuni sunt mai dificil de delimitat, procesele fiind interconectate.</w:t>
      </w:r>
    </w:p>
    <w:p w14:paraId="1F1BF21F" w14:textId="77777777" w:rsidR="00243C5A" w:rsidRPr="00243C5A" w:rsidRDefault="00243C5A" w:rsidP="004A5541">
      <w:pPr>
        <w:spacing w:before="120" w:after="120" w:line="276" w:lineRule="auto"/>
        <w:jc w:val="both"/>
        <w:rPr>
          <w:rFonts w:ascii="Calibri" w:hAnsi="Calibri" w:cs="Calibri"/>
        </w:rPr>
      </w:pPr>
      <w:r w:rsidRPr="00243C5A">
        <w:rPr>
          <w:rFonts w:ascii="Calibri" w:hAnsi="Calibri" w:cs="Calibri"/>
        </w:rPr>
        <w:lastRenderedPageBreak/>
        <w:t>În acest context, a fost oferit exemplul unui proiect care viza digitalizarea întregului proces de business, incluzând activități precum resurse umane, planificare și utilizarea unor instrumente bazate pe inteligență artificială în elaborarea proiectelor. Această abordare a fost considerată neeligibilă în etapa de evaluare, ceea ce indică dificultăți în aplicarea unui cadru unitar de interpretare a digitalizării, în special pentru firmele din sectorul serviciilor.</w:t>
      </w:r>
    </w:p>
    <w:p w14:paraId="0E244DAE" w14:textId="77777777" w:rsidR="00243C5A" w:rsidRPr="00243C5A" w:rsidRDefault="00243C5A" w:rsidP="004A5541">
      <w:pPr>
        <w:spacing w:before="120" w:after="120" w:line="276" w:lineRule="auto"/>
        <w:jc w:val="both"/>
        <w:rPr>
          <w:rStyle w:val="y2iqfc"/>
          <w:rFonts w:eastAsiaTheme="majorEastAsia"/>
          <w:color w:val="0F4761" w:themeColor="accent1" w:themeShade="BF"/>
          <w:sz w:val="24"/>
          <w:szCs w:val="24"/>
        </w:rPr>
      </w:pPr>
      <w:r w:rsidRPr="00243C5A">
        <w:rPr>
          <w:rStyle w:val="y2iqfc"/>
          <w:rFonts w:eastAsiaTheme="majorEastAsia"/>
          <w:color w:val="0F4761" w:themeColor="accent1" w:themeShade="BF"/>
          <w:sz w:val="24"/>
          <w:szCs w:val="24"/>
        </w:rPr>
        <w:t>Neclarități privind eligibilitatea și activitățile care pot fi finanțate</w:t>
      </w:r>
    </w:p>
    <w:p w14:paraId="21C4CB74" w14:textId="77777777" w:rsidR="00243C5A" w:rsidRPr="00243C5A" w:rsidRDefault="00243C5A" w:rsidP="004A5541">
      <w:pPr>
        <w:spacing w:before="120" w:after="120" w:line="276" w:lineRule="auto"/>
        <w:jc w:val="both"/>
        <w:rPr>
          <w:rFonts w:ascii="Calibri" w:hAnsi="Calibri" w:cs="Calibri"/>
        </w:rPr>
      </w:pPr>
      <w:r w:rsidRPr="00243C5A">
        <w:rPr>
          <w:rFonts w:ascii="Calibri" w:hAnsi="Calibri" w:cs="Calibri"/>
        </w:rPr>
        <w:t>S-au evidențiat și alte neclarități privind ceea ce înseamnă digitalizare și activități eligibile. Unele echipamente sau servicii care contribuie la digitalizare nu sunt neapărat active productive sau nu conduc direct la creșterea producției, iar în unele cazuri au fost considerate neeligibile. În mai multe situații, beneficiarii au ajuns la o structură disproporționată a finanțării: deși apelul prevedea 90% sprijin nerambursabil și 10% contribuție proprie, o parte dintre activități au fost considerate neeligibile, ceea ce a condus la creșterea semnificativă a contribuției proprii. Acest lucru a afectat fezabilitatea și relevanța proiectelor pentru IMM-uri.</w:t>
      </w:r>
    </w:p>
    <w:p w14:paraId="15BDE04F" w14:textId="77777777" w:rsidR="00243C5A" w:rsidRPr="00243C5A" w:rsidRDefault="00243C5A" w:rsidP="004A5541">
      <w:pPr>
        <w:spacing w:before="120" w:after="120" w:line="276" w:lineRule="auto"/>
        <w:jc w:val="both"/>
        <w:rPr>
          <w:rFonts w:ascii="Calibri" w:hAnsi="Calibri" w:cs="Calibri"/>
        </w:rPr>
      </w:pPr>
      <w:r w:rsidRPr="00243C5A">
        <w:rPr>
          <w:rFonts w:ascii="Calibri" w:hAnsi="Calibri" w:cs="Calibri"/>
        </w:rPr>
        <w:t>Reprezentanții Cluj IT Cluster au indicat ca problemă modul de interpretare a digitalizării în raport cu criteriile DESI. În practică, digitalizarea a fost asociată frecvent cu îndeplinirea integrală sau aproape integrală a acestor criterii (ERP, CRM, site, rețele sociale, vânzare online etc.), ceea ce a condus la structurarea proiectelor în funcție de aceste cerințe, și nu în funcție de nevoile reale ale companiilor.</w:t>
      </w:r>
    </w:p>
    <w:p w14:paraId="3052EEE6" w14:textId="77777777" w:rsidR="00243C5A" w:rsidRPr="00243C5A" w:rsidRDefault="00243C5A" w:rsidP="004A5541">
      <w:pPr>
        <w:spacing w:before="120" w:after="120" w:line="276" w:lineRule="auto"/>
        <w:jc w:val="both"/>
        <w:rPr>
          <w:rFonts w:ascii="Calibri" w:hAnsi="Calibri" w:cs="Calibri"/>
        </w:rPr>
      </w:pPr>
      <w:r w:rsidRPr="00243C5A">
        <w:rPr>
          <w:rFonts w:ascii="Calibri" w:hAnsi="Calibri" w:cs="Calibri"/>
        </w:rPr>
        <w:t>S-a evidențiat că împărțirea bugetelor pe aceste componente a generat necorelări, fiind prevăzute alocări pentru elemente precum site sau ERP care nu reflectau necesitățile concrete ale beneficiarilor. Deși criteriile DESI pot avea relevanță, acestea nu acoperă în mod necesar nevoile specifice ale unei companii. Un audit IT poate indica necesitatea unor soluții care acoperă doar o parte dintre aceste criterii, fără ca acest lucru să afecteze relevanța intervenției.</w:t>
      </w:r>
    </w:p>
    <w:p w14:paraId="78A3A9DE" w14:textId="61F375B4" w:rsidR="00243C5A" w:rsidRPr="00243C5A" w:rsidRDefault="008209B7" w:rsidP="004A5541">
      <w:pPr>
        <w:spacing w:before="120" w:after="120" w:line="276" w:lineRule="auto"/>
        <w:jc w:val="both"/>
        <w:rPr>
          <w:rFonts w:ascii="Calibri" w:hAnsi="Calibri" w:cs="Calibri"/>
        </w:rPr>
      </w:pPr>
      <w:r>
        <w:rPr>
          <w:rFonts w:ascii="Calibri" w:hAnsi="Calibri" w:cs="Calibri"/>
        </w:rPr>
        <w:t>Respondenții</w:t>
      </w:r>
      <w:r w:rsidR="00243C5A" w:rsidRPr="00243C5A">
        <w:rPr>
          <w:rFonts w:ascii="Calibri" w:hAnsi="Calibri" w:cs="Calibri"/>
        </w:rPr>
        <w:t xml:space="preserve"> au menționat că, inclusiv în cazul propriei firme, au fost incluse elemente precum rețele sociale sau vânzare online, care nu erau relevante pentru activitatea de consultanță. În acest domeniu, procesul de achiziție presupune interacțiuni directe, discuții și analiză, astfel încât vânzarea online nu reprezintă un element funcțional al modelului de business.</w:t>
      </w:r>
    </w:p>
    <w:p w14:paraId="39B8B251" w14:textId="77777777" w:rsidR="00243C5A" w:rsidRPr="00243C5A" w:rsidRDefault="00243C5A" w:rsidP="004A5541">
      <w:pPr>
        <w:spacing w:before="120" w:after="120" w:line="276" w:lineRule="auto"/>
        <w:jc w:val="both"/>
        <w:rPr>
          <w:rFonts w:ascii="Calibri" w:hAnsi="Calibri" w:cs="Calibri"/>
        </w:rPr>
      </w:pPr>
      <w:r w:rsidRPr="00243C5A">
        <w:rPr>
          <w:rFonts w:ascii="Calibri" w:hAnsi="Calibri" w:cs="Calibri"/>
        </w:rPr>
        <w:t>De asemenea, s-a subliniat că delimitarea între ERP și CRM nu este întotdeauna clară în practică, funcționalitățile acestora putându-se suprapune în funcție de procesele interne ale firmei. În același timp, atât piața, cât și structura finanțării au favorizat soluții standardizate, construite pentru a răspunde unor criterii predefinite.</w:t>
      </w:r>
    </w:p>
    <w:p w14:paraId="7D9DB340" w14:textId="77777777" w:rsidR="00243C5A" w:rsidRPr="00243C5A" w:rsidRDefault="00243C5A" w:rsidP="004A5541">
      <w:pPr>
        <w:spacing w:before="120" w:after="120" w:line="276" w:lineRule="auto"/>
        <w:jc w:val="both"/>
        <w:rPr>
          <w:rStyle w:val="y2iqfc"/>
          <w:rFonts w:eastAsiaTheme="majorEastAsia"/>
          <w:color w:val="0F4761" w:themeColor="accent1" w:themeShade="BF"/>
          <w:sz w:val="24"/>
          <w:szCs w:val="24"/>
        </w:rPr>
      </w:pPr>
      <w:r w:rsidRPr="00243C5A">
        <w:rPr>
          <w:rStyle w:val="y2iqfc"/>
          <w:rFonts w:eastAsiaTheme="majorEastAsia"/>
          <w:color w:val="0F4761" w:themeColor="accent1" w:themeShade="BF"/>
          <w:sz w:val="24"/>
          <w:szCs w:val="24"/>
        </w:rPr>
        <w:t>Necesitatea clarificării diferenței dintre venituri directe și eficientizare</w:t>
      </w:r>
    </w:p>
    <w:p w14:paraId="25F298AF" w14:textId="605F0012" w:rsidR="00243C5A" w:rsidRPr="00243C5A" w:rsidRDefault="008209B7" w:rsidP="004A5541">
      <w:pPr>
        <w:spacing w:before="120" w:after="120" w:line="276" w:lineRule="auto"/>
        <w:jc w:val="both"/>
        <w:rPr>
          <w:rFonts w:ascii="Calibri" w:hAnsi="Calibri" w:cs="Calibri"/>
        </w:rPr>
      </w:pPr>
      <w:r>
        <w:rPr>
          <w:rFonts w:ascii="Calibri" w:hAnsi="Calibri" w:cs="Calibri"/>
        </w:rPr>
        <w:t>Reprezentanții Cluj IT Cluster</w:t>
      </w:r>
      <w:r w:rsidR="00243C5A" w:rsidRPr="00243C5A">
        <w:rPr>
          <w:rFonts w:ascii="Calibri" w:hAnsi="Calibri" w:cs="Calibri"/>
        </w:rPr>
        <w:t xml:space="preserve"> au evidențiat lipsa de claritate a ghidului solicitantului, în special în ceea ce privește delimitarea activităților de digitalizare cu potențial generator de venit. În cazul proiectului depus, interpretarea conform căreia soluția digitală propusă ar putea genera venituri directe a condus la respingerea acestuia, în ciuda faptului că aplicația viza exclusiv optimizarea proceselor interne.</w:t>
      </w:r>
    </w:p>
    <w:p w14:paraId="66D843EB" w14:textId="77777777" w:rsidR="00243C5A" w:rsidRPr="00243C5A" w:rsidRDefault="00243C5A" w:rsidP="004A5541">
      <w:pPr>
        <w:spacing w:before="120" w:after="120" w:line="276" w:lineRule="auto"/>
        <w:jc w:val="both"/>
        <w:rPr>
          <w:rFonts w:ascii="Calibri" w:hAnsi="Calibri" w:cs="Calibri"/>
        </w:rPr>
      </w:pPr>
      <w:r w:rsidRPr="00243C5A">
        <w:rPr>
          <w:rFonts w:ascii="Calibri" w:hAnsi="Calibri" w:cs="Calibri"/>
        </w:rPr>
        <w:t xml:space="preserve">A fost subliniată necesitatea unei diferențieri explicite între veniturile directe, rezultate din comercializarea unei soluții dezvoltate, și beneficiile indirecte generate prin eficientizarea activității. Digitalizarea proceselor interne are ca obiectiv principal creșterea eficienței operaționale, reducerea timpilor de execuție și îmbunătățirea capacității de gestionare a informației, efecte care pot conduce </w:t>
      </w:r>
      <w:r w:rsidRPr="00243C5A">
        <w:rPr>
          <w:rFonts w:ascii="Calibri" w:hAnsi="Calibri" w:cs="Calibri"/>
        </w:rPr>
        <w:lastRenderedPageBreak/>
        <w:t>ulterior la creșterea profitabilității. Aceste rezultate nu derivă însă din valorificarea comercială a soluției finanțate, ci din optimizarea funcționării interne a companiei.</w:t>
      </w:r>
    </w:p>
    <w:p w14:paraId="11B2801E" w14:textId="77777777" w:rsidR="00243C5A" w:rsidRPr="00243C5A" w:rsidRDefault="00243C5A" w:rsidP="004A5541">
      <w:pPr>
        <w:spacing w:before="120" w:after="120" w:line="276" w:lineRule="auto"/>
        <w:jc w:val="both"/>
        <w:rPr>
          <w:rFonts w:ascii="Calibri" w:hAnsi="Calibri" w:cs="Calibri"/>
        </w:rPr>
      </w:pPr>
      <w:r w:rsidRPr="00243C5A">
        <w:rPr>
          <w:rFonts w:ascii="Calibri" w:hAnsi="Calibri" w:cs="Calibri"/>
        </w:rPr>
        <w:t>În lipsa unei astfel de clarificări la nivelul ghidului, interpretarea caracterului generator de venit a fost aplicată în mod restrictiv în etapa de evaluare, ceea ce a condus la respingerea unor proiecte orientate către digitalizarea proceselor interne.</w:t>
      </w:r>
    </w:p>
    <w:p w14:paraId="07E9A80A" w14:textId="77777777" w:rsidR="00243C5A" w:rsidRPr="00243C5A" w:rsidRDefault="00243C5A" w:rsidP="004A5541">
      <w:pPr>
        <w:spacing w:before="120" w:after="120" w:line="276" w:lineRule="auto"/>
        <w:jc w:val="both"/>
        <w:rPr>
          <w:rFonts w:ascii="Calibri" w:hAnsi="Calibri" w:cs="Calibri"/>
        </w:rPr>
      </w:pPr>
      <w:r w:rsidRPr="00243C5A">
        <w:rPr>
          <w:rFonts w:ascii="Calibri" w:hAnsi="Calibri" w:cs="Calibri"/>
        </w:rPr>
        <w:t>S-a evidențiat că această ambiguitate afectează predictibilitatea procesului de evaluare și poate influența negativ decizia de investiție la nivelul IMM-urilor, în special în cazul proiectelor care vizează transformarea operațională și nu dezvoltarea de produse digitale comercializabile.</w:t>
      </w:r>
    </w:p>
    <w:p w14:paraId="29E03065" w14:textId="77777777" w:rsidR="00243C5A" w:rsidRPr="00243C5A" w:rsidRDefault="00243C5A" w:rsidP="004A5541">
      <w:pPr>
        <w:spacing w:before="120" w:after="120" w:line="276" w:lineRule="auto"/>
        <w:jc w:val="both"/>
        <w:rPr>
          <w:rStyle w:val="y2iqfc"/>
          <w:rFonts w:eastAsiaTheme="majorEastAsia"/>
          <w:color w:val="0F4761" w:themeColor="accent1" w:themeShade="BF"/>
          <w:sz w:val="24"/>
          <w:szCs w:val="24"/>
        </w:rPr>
      </w:pPr>
      <w:r w:rsidRPr="00243C5A">
        <w:rPr>
          <w:rStyle w:val="y2iqfc"/>
          <w:rFonts w:eastAsiaTheme="majorEastAsia"/>
          <w:color w:val="0F4761" w:themeColor="accent1" w:themeShade="BF"/>
          <w:sz w:val="24"/>
          <w:szCs w:val="24"/>
        </w:rPr>
        <w:t>Tipuri de tehnologii necesare IMM-urilor</w:t>
      </w:r>
    </w:p>
    <w:p w14:paraId="18AD6557" w14:textId="77777777" w:rsidR="00243C5A" w:rsidRPr="00243C5A" w:rsidRDefault="00243C5A" w:rsidP="004A5541">
      <w:pPr>
        <w:spacing w:before="120" w:after="120" w:line="276" w:lineRule="auto"/>
        <w:jc w:val="both"/>
        <w:rPr>
          <w:rFonts w:ascii="Calibri" w:hAnsi="Calibri" w:cs="Calibri"/>
        </w:rPr>
      </w:pPr>
      <w:r w:rsidRPr="00243C5A">
        <w:rPr>
          <w:rFonts w:ascii="Calibri" w:hAnsi="Calibri" w:cs="Calibri"/>
        </w:rPr>
        <w:t>O altă întrebare din partea echipei de evaluare a vizat relevanța tehnologiilor cel mai frecvent finanțate, precum CRM și ERP, și măsura în care acestea răspund nevoilor reale ale IMM-urilor la nivel regional. Această temă a fost corelată și cu faptul că Regiunea Nord-Vest înregistrează rezultate relativ bune la anumiți indicatori de digitalizare, comparativ cu alte regiuni din România.</w:t>
      </w:r>
    </w:p>
    <w:p w14:paraId="4F157B7E" w14:textId="245090E8" w:rsidR="00243C5A" w:rsidRPr="00243C5A" w:rsidRDefault="008209B7" w:rsidP="004A5541">
      <w:pPr>
        <w:spacing w:before="120" w:after="120" w:line="276" w:lineRule="auto"/>
        <w:jc w:val="both"/>
        <w:rPr>
          <w:rFonts w:ascii="Calibri" w:hAnsi="Calibri" w:cs="Calibri"/>
        </w:rPr>
      </w:pPr>
      <w:r>
        <w:rPr>
          <w:rFonts w:ascii="Calibri" w:hAnsi="Calibri" w:cs="Calibri"/>
        </w:rPr>
        <w:t>Reprezentanții Cluj IT Cluster</w:t>
      </w:r>
      <w:r w:rsidRPr="00243C5A">
        <w:rPr>
          <w:rFonts w:ascii="Calibri" w:hAnsi="Calibri" w:cs="Calibri"/>
        </w:rPr>
        <w:t xml:space="preserve"> </w:t>
      </w:r>
      <w:r w:rsidR="00243C5A" w:rsidRPr="00243C5A">
        <w:rPr>
          <w:rFonts w:ascii="Calibri" w:hAnsi="Calibri" w:cs="Calibri"/>
        </w:rPr>
        <w:t>au arătat că soluțiile de tip CRM și ERP sunt, în general, necesare pentru IMM-uri, în special pentru firmele mici și microîntreprinderi, în contextul nevoii de centralizare a informațiilor și de automatizare a unor procese administrative. Cu toate acestea, s-a subliniat că aceste soluții nu sunt suficiente pentru susținerea competitivității, fiind necesară extinderea digitalizării către procese operaționale și activități specifice fiecărui domeniu de activitate.</w:t>
      </w:r>
    </w:p>
    <w:p w14:paraId="062F7628" w14:textId="77777777" w:rsidR="00243C5A" w:rsidRPr="00243C5A" w:rsidRDefault="00243C5A" w:rsidP="004A5541">
      <w:pPr>
        <w:spacing w:before="120" w:after="120" w:line="276" w:lineRule="auto"/>
        <w:jc w:val="both"/>
        <w:rPr>
          <w:rFonts w:ascii="Calibri" w:hAnsi="Calibri" w:cs="Calibri"/>
        </w:rPr>
      </w:pPr>
      <w:r w:rsidRPr="00243C5A">
        <w:rPr>
          <w:rFonts w:ascii="Calibri" w:hAnsi="Calibri" w:cs="Calibri"/>
        </w:rPr>
        <w:t xml:space="preserve">În ceea ce privește tipologia tehnologiilor relevante, s-a evidențiat caracterul dependent de specificul fiecărui business. În domeniul consultanței, de exemplu, utilizarea inteligenței artificiale poate contribui la eficientizarea unor activități precum elaborarea de documentații, în timp ce alte domenii pot necesita soluții diferite, precum aplicații BIM în arhitectură sau tehnologii de tip </w:t>
      </w:r>
      <w:proofErr w:type="spellStart"/>
      <w:r w:rsidRPr="00243C5A">
        <w:rPr>
          <w:rFonts w:ascii="Calibri" w:hAnsi="Calibri" w:cs="Calibri"/>
        </w:rPr>
        <w:t>machine</w:t>
      </w:r>
      <w:proofErr w:type="spellEnd"/>
      <w:r w:rsidRPr="00243C5A">
        <w:rPr>
          <w:rFonts w:ascii="Calibri" w:hAnsi="Calibri" w:cs="Calibri"/>
        </w:rPr>
        <w:t xml:space="preserve"> </w:t>
      </w:r>
      <w:proofErr w:type="spellStart"/>
      <w:r w:rsidRPr="00243C5A">
        <w:rPr>
          <w:rFonts w:ascii="Calibri" w:hAnsi="Calibri" w:cs="Calibri"/>
        </w:rPr>
        <w:t>learning</w:t>
      </w:r>
      <w:proofErr w:type="spellEnd"/>
      <w:r w:rsidRPr="00243C5A">
        <w:rPr>
          <w:rFonts w:ascii="Calibri" w:hAnsi="Calibri" w:cs="Calibri"/>
        </w:rPr>
        <w:t xml:space="preserve"> sau </w:t>
      </w:r>
      <w:proofErr w:type="spellStart"/>
      <w:r w:rsidRPr="00243C5A">
        <w:rPr>
          <w:rFonts w:ascii="Calibri" w:hAnsi="Calibri" w:cs="Calibri"/>
        </w:rPr>
        <w:t>IoT</w:t>
      </w:r>
      <w:proofErr w:type="spellEnd"/>
      <w:r w:rsidRPr="00243C5A">
        <w:rPr>
          <w:rFonts w:ascii="Calibri" w:hAnsi="Calibri" w:cs="Calibri"/>
        </w:rPr>
        <w:t>. În acest context, nu poate fi definit un set unic de tehnologii aplicabile, acestea fiind condiționate de nevoile sectoriale și de structura internă a fiecărei companii.</w:t>
      </w:r>
    </w:p>
    <w:p w14:paraId="65D486CA" w14:textId="77777777" w:rsidR="00243C5A" w:rsidRPr="00243C5A" w:rsidRDefault="00243C5A" w:rsidP="004A5541">
      <w:pPr>
        <w:spacing w:before="120" w:after="120" w:line="276" w:lineRule="auto"/>
        <w:jc w:val="both"/>
        <w:rPr>
          <w:rFonts w:ascii="Calibri" w:hAnsi="Calibri" w:cs="Calibri"/>
        </w:rPr>
      </w:pPr>
      <w:r w:rsidRPr="00243C5A">
        <w:rPr>
          <w:rFonts w:ascii="Calibri" w:hAnsi="Calibri" w:cs="Calibri"/>
        </w:rPr>
        <w:t>Un alt aspect evidențiat a fost corelarea procesului de digitalizare cu nivelul de competențe al resursei umane. Implementarea soluțiilor digitale este limitată în practică de nivelul redus al competențelor digitale de bază în rândul angajaților, inclusiv în utilizarea unor instrumente uzuale de productivitate. În acest sens, a fost subliniată necesitatea unor intervenții complementare orientate către dezvoltarea competențelor digitale aplicate.</w:t>
      </w:r>
    </w:p>
    <w:p w14:paraId="2543DE4F" w14:textId="77777777" w:rsidR="00243C5A" w:rsidRPr="00243C5A" w:rsidRDefault="00243C5A" w:rsidP="004A5541">
      <w:pPr>
        <w:spacing w:before="120" w:after="120" w:line="276" w:lineRule="auto"/>
        <w:jc w:val="both"/>
        <w:rPr>
          <w:rFonts w:ascii="Calibri" w:hAnsi="Calibri" w:cs="Calibri"/>
          <w:b/>
          <w:bCs/>
        </w:rPr>
      </w:pPr>
      <w:r w:rsidRPr="00243C5A">
        <w:rPr>
          <w:rFonts w:ascii="Calibri" w:hAnsi="Calibri" w:cs="Calibri"/>
        </w:rPr>
        <w:t xml:space="preserve">A fost oferit și exemplul unui model de formare bazat pe transfer direct de cunoștințe între angajați, utilizat în cadrul companiei, în care instruirea se realizează în mod direct, prin interacțiune și lucru aplicat. S-a evidențiat că digitalizarea acestui tip de proces ar presupune dezvoltarea unor soluții dedicate de tip </w:t>
      </w:r>
      <w:proofErr w:type="spellStart"/>
      <w:r w:rsidRPr="00243C5A">
        <w:rPr>
          <w:rFonts w:ascii="Calibri" w:hAnsi="Calibri" w:cs="Calibri"/>
        </w:rPr>
        <w:t>learning</w:t>
      </w:r>
      <w:proofErr w:type="spellEnd"/>
      <w:r w:rsidRPr="00243C5A">
        <w:rPr>
          <w:rFonts w:ascii="Calibri" w:hAnsi="Calibri" w:cs="Calibri"/>
        </w:rPr>
        <w:t xml:space="preserve"> sau </w:t>
      </w:r>
      <w:proofErr w:type="spellStart"/>
      <w:r w:rsidRPr="00243C5A">
        <w:rPr>
          <w:rFonts w:ascii="Calibri" w:hAnsi="Calibri" w:cs="Calibri"/>
        </w:rPr>
        <w:t>knowledge</w:t>
      </w:r>
      <w:proofErr w:type="spellEnd"/>
      <w:r w:rsidRPr="00243C5A">
        <w:rPr>
          <w:rFonts w:ascii="Calibri" w:hAnsi="Calibri" w:cs="Calibri"/>
        </w:rPr>
        <w:t xml:space="preserve"> management, care nu se regăsesc în instrumentele standard (CRM/ERP). Totuși, costurile asociate dezvoltării unor astfel de soluții sunt ridicate și dificil de justificat economic pentru IMM-uri de dimensiuni reduse, fiind mai degrabă accesibile organizațiilor de mari dimensiuni.</w:t>
      </w:r>
      <w:r w:rsidRPr="00243C5A">
        <w:rPr>
          <w:rFonts w:ascii="Calibri" w:hAnsi="Calibri" w:cs="Calibri"/>
          <w:b/>
          <w:bCs/>
        </w:rPr>
        <w:t xml:space="preserve"> </w:t>
      </w:r>
    </w:p>
    <w:p w14:paraId="37B437E5" w14:textId="77777777" w:rsidR="00243C5A" w:rsidRPr="00243C5A" w:rsidRDefault="00243C5A" w:rsidP="004A5541">
      <w:pPr>
        <w:spacing w:before="120" w:after="120" w:line="276" w:lineRule="auto"/>
        <w:jc w:val="both"/>
        <w:rPr>
          <w:rStyle w:val="y2iqfc"/>
          <w:rFonts w:eastAsiaTheme="majorEastAsia"/>
          <w:color w:val="0F4761" w:themeColor="accent1" w:themeShade="BF"/>
          <w:sz w:val="24"/>
          <w:szCs w:val="24"/>
        </w:rPr>
      </w:pPr>
      <w:r w:rsidRPr="00243C5A">
        <w:rPr>
          <w:rStyle w:val="y2iqfc"/>
          <w:rFonts w:eastAsiaTheme="majorEastAsia"/>
          <w:color w:val="0F4761" w:themeColor="accent1" w:themeShade="BF"/>
          <w:sz w:val="24"/>
          <w:szCs w:val="24"/>
        </w:rPr>
        <w:t>Sprijin non-financiar necesar pentru digitalizare</w:t>
      </w:r>
    </w:p>
    <w:p w14:paraId="17D112B4" w14:textId="77777777" w:rsidR="00243C5A" w:rsidRPr="00243C5A" w:rsidRDefault="00243C5A" w:rsidP="004A5541">
      <w:pPr>
        <w:spacing w:before="120" w:after="120" w:line="276" w:lineRule="auto"/>
        <w:jc w:val="both"/>
        <w:rPr>
          <w:rFonts w:ascii="Calibri" w:hAnsi="Calibri" w:cs="Calibri"/>
        </w:rPr>
      </w:pPr>
      <w:r w:rsidRPr="00243C5A">
        <w:rPr>
          <w:rFonts w:ascii="Calibri" w:hAnsi="Calibri" w:cs="Calibri"/>
        </w:rPr>
        <w:t xml:space="preserve">Echipa de evaluare a formulat o întrebare privind tipurile de sprijin necesare IMM-urilor dincolo de componenta financiară, în contextul în care Programul Regional oferă preponderent finanțare, iar activitățile de informare și pregătire sunt limitate și orientate în principal către aspecte administrative. </w:t>
      </w:r>
    </w:p>
    <w:p w14:paraId="4AC733F2" w14:textId="786903B1" w:rsidR="00243C5A" w:rsidRPr="00243C5A" w:rsidRDefault="008209B7" w:rsidP="004A5541">
      <w:pPr>
        <w:spacing w:before="120" w:after="120" w:line="276" w:lineRule="auto"/>
        <w:jc w:val="both"/>
        <w:rPr>
          <w:rFonts w:ascii="Calibri" w:hAnsi="Calibri" w:cs="Calibri"/>
        </w:rPr>
      </w:pPr>
      <w:r>
        <w:rPr>
          <w:rFonts w:ascii="Calibri" w:hAnsi="Calibri" w:cs="Calibri"/>
        </w:rPr>
        <w:lastRenderedPageBreak/>
        <w:t>Reprezentanții Cluj IT Cluster</w:t>
      </w:r>
      <w:r w:rsidRPr="00243C5A">
        <w:rPr>
          <w:rFonts w:ascii="Calibri" w:hAnsi="Calibri" w:cs="Calibri"/>
        </w:rPr>
        <w:t xml:space="preserve"> </w:t>
      </w:r>
      <w:r w:rsidR="00243C5A" w:rsidRPr="00243C5A">
        <w:rPr>
          <w:rFonts w:ascii="Calibri" w:hAnsi="Calibri" w:cs="Calibri"/>
        </w:rPr>
        <w:t xml:space="preserve">au evidențiat dificultăți în transpunerea proceselor interne în cerințe tehnice pentru furnizorii IT, în ciuda unei bune înțelegeri a acestora la nivel de management. Cei doi au remarcat rolul esențial al unei funcții interne de tip </w:t>
      </w:r>
      <w:r w:rsidR="00243C5A" w:rsidRPr="00243C5A">
        <w:rPr>
          <w:rFonts w:ascii="Calibri" w:hAnsi="Calibri" w:cs="Calibri"/>
          <w:i/>
          <w:iCs/>
        </w:rPr>
        <w:t xml:space="preserve">business </w:t>
      </w:r>
      <w:proofErr w:type="spellStart"/>
      <w:r w:rsidR="00243C5A" w:rsidRPr="00243C5A">
        <w:rPr>
          <w:rFonts w:ascii="Calibri" w:hAnsi="Calibri" w:cs="Calibri"/>
          <w:i/>
          <w:iCs/>
        </w:rPr>
        <w:t>analyst</w:t>
      </w:r>
      <w:proofErr w:type="spellEnd"/>
      <w:r w:rsidR="00243C5A" w:rsidRPr="00243C5A">
        <w:rPr>
          <w:rFonts w:ascii="Calibri" w:hAnsi="Calibri" w:cs="Calibri"/>
        </w:rPr>
        <w:t>, care asigură interfața între procesele organizaționale și soluțiile tehnice. În lipsa unei astfel de funcții, procesul de digitalizare devine semnificativ mai dificil, atât pentru beneficiar, cât și pentru prestatorul IT. Totodată, au subliniat că această nevoie este dificil de standardizat sau de replicat la nivelul IMM-urilor.</w:t>
      </w:r>
    </w:p>
    <w:p w14:paraId="5720995D" w14:textId="77777777" w:rsidR="00243C5A" w:rsidRPr="00243C5A" w:rsidRDefault="00243C5A" w:rsidP="004A5541">
      <w:pPr>
        <w:spacing w:before="120" w:after="120" w:line="276" w:lineRule="auto"/>
        <w:jc w:val="both"/>
        <w:rPr>
          <w:rFonts w:ascii="Calibri" w:hAnsi="Calibri" w:cs="Calibri"/>
        </w:rPr>
      </w:pPr>
      <w:r w:rsidRPr="00243C5A">
        <w:rPr>
          <w:rFonts w:ascii="Calibri" w:hAnsi="Calibri" w:cs="Calibri"/>
        </w:rPr>
        <w:t>În ceea ce privește componenta de formare, cei doi au evidențiat caracterul insuficient al cursurilor de competențe digitale incluse în proiecte, acestea fiind orientate preponderent către noțiuni de bază (ex. utilizarea Word, Excel), fără a sprijini utilizarea avansată a instrumentelor digitale sau integrarea unor soluții complexe în activitatea curentă.</w:t>
      </w:r>
    </w:p>
    <w:p w14:paraId="18A86572" w14:textId="77777777" w:rsidR="00243C5A" w:rsidRPr="00243C5A" w:rsidRDefault="00243C5A" w:rsidP="004A5541">
      <w:pPr>
        <w:spacing w:before="120" w:after="120" w:line="276" w:lineRule="auto"/>
        <w:jc w:val="both"/>
        <w:rPr>
          <w:rFonts w:ascii="Calibri" w:hAnsi="Calibri" w:cs="Calibri"/>
        </w:rPr>
      </w:pPr>
      <w:r w:rsidRPr="00243C5A">
        <w:rPr>
          <w:rFonts w:ascii="Calibri" w:hAnsi="Calibri" w:cs="Calibri"/>
        </w:rPr>
        <w:t>De asemenea, au remarcat un nivel redus de utilizare a unor instrumente digitale avansate deja disponibile în mediul de lucru (ex. soluții bazate pe inteligență artificială), aspect corelat atât cu nivelul de competențe, cât și cu disponibilitatea limitată de explorare și adoptare a acestora.</w:t>
      </w:r>
    </w:p>
    <w:p w14:paraId="0F488608" w14:textId="77777777" w:rsidR="00243C5A" w:rsidRPr="00243C5A" w:rsidRDefault="00243C5A" w:rsidP="004A5541">
      <w:pPr>
        <w:spacing w:before="120" w:after="120" w:line="276" w:lineRule="auto"/>
        <w:jc w:val="both"/>
        <w:rPr>
          <w:rFonts w:ascii="Calibri" w:hAnsi="Calibri" w:cs="Calibri"/>
        </w:rPr>
      </w:pPr>
      <w:r w:rsidRPr="00243C5A">
        <w:rPr>
          <w:rFonts w:ascii="Calibri" w:hAnsi="Calibri" w:cs="Calibri"/>
        </w:rPr>
        <w:t xml:space="preserve">Un obstacol semnificativ în procesul de digitalizare îl reprezintă reticența angajaților față de adoptarea noilor tehnologii. Cei doi au evidențiat faptul că introducerea unor soluții digitale poate genera reacții de respingere sau rezistență, inclusiv la nivelul </w:t>
      </w:r>
      <w:proofErr w:type="spellStart"/>
      <w:r w:rsidRPr="00243C5A">
        <w:rPr>
          <w:rFonts w:ascii="Calibri" w:hAnsi="Calibri" w:cs="Calibri"/>
          <w:i/>
          <w:iCs/>
        </w:rPr>
        <w:t>middle</w:t>
      </w:r>
      <w:proofErr w:type="spellEnd"/>
      <w:r w:rsidRPr="00243C5A">
        <w:rPr>
          <w:rFonts w:ascii="Calibri" w:hAnsi="Calibri" w:cs="Calibri"/>
          <w:i/>
          <w:iCs/>
        </w:rPr>
        <w:t xml:space="preserve"> managementului</w:t>
      </w:r>
      <w:r w:rsidRPr="00243C5A">
        <w:rPr>
          <w:rFonts w:ascii="Calibri" w:hAnsi="Calibri" w:cs="Calibri"/>
        </w:rPr>
        <w:t>, în ciuda potențialului de eficientizare a activității.</w:t>
      </w:r>
    </w:p>
    <w:p w14:paraId="6C4A9C8C" w14:textId="77777777" w:rsidR="00243C5A" w:rsidRPr="00243C5A" w:rsidRDefault="00243C5A" w:rsidP="004A5541">
      <w:pPr>
        <w:spacing w:before="120" w:after="120" w:line="276" w:lineRule="auto"/>
        <w:jc w:val="both"/>
        <w:rPr>
          <w:rFonts w:ascii="Calibri" w:hAnsi="Calibri" w:cs="Calibri"/>
        </w:rPr>
      </w:pPr>
      <w:r w:rsidRPr="00243C5A">
        <w:rPr>
          <w:rFonts w:ascii="Calibri" w:hAnsi="Calibri" w:cs="Calibri"/>
        </w:rPr>
        <w:t>Factorii care contribuie la această reticență includ rezistența la schimbare, ieșirea din zona de confort, percepții privind riscul de înlocuire a forței de muncă prin automatizare, precum și influența unor informații nevalidate. Totodată, echipa de evaluare a semnalat posibilitatea ca digitalizarea să fie percepută ca un instrument de creștere a controlului asupra activității angajaților, prin creșterea transparenței privind modul de lucru și nivelul de productivitate.</w:t>
      </w:r>
    </w:p>
    <w:p w14:paraId="7F087DF9" w14:textId="77777777" w:rsidR="00243C5A" w:rsidRPr="00243C5A" w:rsidRDefault="00243C5A" w:rsidP="004A5541">
      <w:pPr>
        <w:spacing w:before="120" w:after="120" w:line="276" w:lineRule="auto"/>
        <w:jc w:val="both"/>
        <w:rPr>
          <w:rStyle w:val="y2iqfc"/>
          <w:rFonts w:eastAsiaTheme="majorEastAsia"/>
          <w:color w:val="0F4761" w:themeColor="accent1" w:themeShade="BF"/>
          <w:sz w:val="24"/>
          <w:szCs w:val="24"/>
        </w:rPr>
      </w:pPr>
      <w:r w:rsidRPr="00243C5A">
        <w:rPr>
          <w:rStyle w:val="y2iqfc"/>
          <w:rFonts w:eastAsiaTheme="majorEastAsia"/>
          <w:color w:val="0F4761" w:themeColor="accent1" w:themeShade="BF"/>
          <w:sz w:val="24"/>
          <w:szCs w:val="24"/>
        </w:rPr>
        <w:t>Experiența în cadrul apelului 1.2.1 din Programul Regional Nord-Vest</w:t>
      </w:r>
    </w:p>
    <w:p w14:paraId="03D5B77E" w14:textId="77777777" w:rsidR="00243C5A" w:rsidRPr="00243C5A" w:rsidRDefault="00243C5A" w:rsidP="004A5541">
      <w:pPr>
        <w:spacing w:before="120" w:after="120" w:line="276" w:lineRule="auto"/>
        <w:jc w:val="both"/>
        <w:rPr>
          <w:rFonts w:ascii="Calibri" w:hAnsi="Calibri" w:cs="Calibri"/>
        </w:rPr>
      </w:pPr>
      <w:r w:rsidRPr="00243C5A">
        <w:rPr>
          <w:rFonts w:ascii="Calibri" w:hAnsi="Calibri" w:cs="Calibri"/>
        </w:rPr>
        <w:t>Echipa de evaluare a solicitat detalii privind experiența în accesarea apelurilor de digitalizare, în special apelul 1.2.1 din cadrul Programului Regional Nord-Vest, precum și o comparație cu experiența aferentă finanțărilor prin PNRR.</w:t>
      </w:r>
    </w:p>
    <w:p w14:paraId="38ECFDF8" w14:textId="246EF698" w:rsidR="00243C5A" w:rsidRPr="00243C5A" w:rsidRDefault="008209B7" w:rsidP="004A5541">
      <w:pPr>
        <w:spacing w:before="120" w:after="120" w:line="276" w:lineRule="auto"/>
        <w:jc w:val="both"/>
        <w:rPr>
          <w:rFonts w:ascii="Calibri" w:hAnsi="Calibri" w:cs="Calibri"/>
        </w:rPr>
      </w:pPr>
      <w:r>
        <w:rPr>
          <w:rFonts w:ascii="Calibri" w:hAnsi="Calibri" w:cs="Calibri"/>
        </w:rPr>
        <w:t>Reprezentanții Cluj IT Cluster</w:t>
      </w:r>
      <w:r w:rsidRPr="00243C5A">
        <w:rPr>
          <w:rFonts w:ascii="Calibri" w:hAnsi="Calibri" w:cs="Calibri"/>
        </w:rPr>
        <w:t xml:space="preserve"> </w:t>
      </w:r>
      <w:r w:rsidR="00243C5A" w:rsidRPr="00243C5A">
        <w:rPr>
          <w:rFonts w:ascii="Calibri" w:hAnsi="Calibri" w:cs="Calibri"/>
        </w:rPr>
        <w:t>au prezentat activitatea companiei, care oferă servicii integrate de consultanță pentru accesarea fondurilor europene, incluzând identificarea surselor de finanțare, elaborarea cererilor de finanțare și implementarea proiectelor. Compania dispune de capacitate internă de proiectare și colaborează cu specialiști din domenii variate, inclusiv energie, inteligență artificială și mediul academic (ex. universități tehnice și de profil). Totodată, desfășoară activități de formare și implicare academică, inclusiv stagii de practică pentru studenți și contribuții la activități didactice.</w:t>
      </w:r>
    </w:p>
    <w:p w14:paraId="76D7D879" w14:textId="77777777" w:rsidR="00243C5A" w:rsidRPr="00243C5A" w:rsidRDefault="00243C5A" w:rsidP="004A5541">
      <w:pPr>
        <w:spacing w:before="120" w:after="120" w:line="276" w:lineRule="auto"/>
        <w:jc w:val="both"/>
        <w:rPr>
          <w:rFonts w:ascii="Calibri" w:hAnsi="Calibri" w:cs="Calibri"/>
        </w:rPr>
      </w:pPr>
      <w:r w:rsidRPr="00243C5A">
        <w:rPr>
          <w:rFonts w:ascii="Calibri" w:hAnsi="Calibri" w:cs="Calibri"/>
        </w:rPr>
        <w:t>Organizația are aproximativ 25 de angajați și o structură internă organizată pe departamente funcționale (contractare, scriere, implementare), proiectele fiind gestionate etapizat, cu implicarea mai multor echipe. Activitatea este concentrată în regiunile Centru, Nord-Vest și Vest, cu extinderi punctuale în alte regiuni. Portofoliul acoperă o gamă largă de domenii, inclusiv infrastructură, mobilitate, sănătate, resurse umane și sectorul social. Valoarea cumulată a proiectelor gestionate este estimată la aproximativ 600 milioane euro, cu o rată de succes ridicată (aprox. 99%).</w:t>
      </w:r>
    </w:p>
    <w:p w14:paraId="5198A1CD" w14:textId="77777777" w:rsidR="00243C5A" w:rsidRPr="00243C5A" w:rsidRDefault="00243C5A" w:rsidP="004A5541">
      <w:pPr>
        <w:spacing w:before="120" w:after="120" w:line="276" w:lineRule="auto"/>
        <w:jc w:val="both"/>
        <w:rPr>
          <w:rFonts w:ascii="Calibri" w:hAnsi="Calibri" w:cs="Calibri"/>
        </w:rPr>
      </w:pPr>
      <w:r w:rsidRPr="00243C5A">
        <w:rPr>
          <w:rFonts w:ascii="Calibri" w:hAnsi="Calibri" w:cs="Calibri"/>
        </w:rPr>
        <w:lastRenderedPageBreak/>
        <w:t>În ceea ce privește apelul 1.2.1, cei doi au indicat că principalele dificultăți au fost generate de aspectele deja menționate anterior, în special cele legate de claritatea ghidului și de interpretarea criteriilor de evaluare. În etapa de elaborare a proiectului nu au fost întâmpinate dificultăți semnificative, însă au fost semnalate cerințe formale suplimentare, precum obligativitatea unui raport IT semnat de un expert extern. Deși documentul a fost realizat în proporție majoritară intern, a fost necesară validarea externă, ceea ce a generat costuri suplimentare, considerate nejustificate în contextul existenței competenței interne.</w:t>
      </w:r>
    </w:p>
    <w:p w14:paraId="67841B73" w14:textId="77777777" w:rsidR="00243C5A" w:rsidRPr="00243C5A" w:rsidRDefault="00243C5A" w:rsidP="004A5541">
      <w:pPr>
        <w:spacing w:before="120" w:after="120" w:line="276" w:lineRule="auto"/>
        <w:jc w:val="both"/>
        <w:rPr>
          <w:rFonts w:ascii="Calibri" w:hAnsi="Calibri" w:cs="Calibri"/>
        </w:rPr>
      </w:pPr>
      <w:r w:rsidRPr="00243C5A">
        <w:rPr>
          <w:rFonts w:ascii="Calibri" w:hAnsi="Calibri" w:cs="Calibri"/>
        </w:rPr>
        <w:t>Principala problemă a fost întâmpinată în etapa de evaluare, fiind legată de interpretarea caracterului generator de venit al soluției propuse. Deși s-a clarificat, inclusiv în răspunsurile la solicitările de clarificări, că aplicația viza exclusiv automatizarea proceselor interne și nu urma să fie comercializată, comisia de evaluare a considerat că aceasta ar putea genera venituri. În acest context, beneficiile economice indirecte (creșterea eficienței, reducerea timpilor de lucru) au fost interpretate ca fiind echivalente cu generarea de venituri directe, ceea ce a condus la respingerea proiectului.</w:t>
      </w:r>
    </w:p>
    <w:p w14:paraId="521DECC8" w14:textId="77777777" w:rsidR="00243C5A" w:rsidRPr="00243C5A" w:rsidRDefault="00243C5A" w:rsidP="004A5541">
      <w:pPr>
        <w:spacing w:before="120" w:after="120" w:line="276" w:lineRule="auto"/>
        <w:jc w:val="both"/>
        <w:rPr>
          <w:rFonts w:ascii="Calibri" w:hAnsi="Calibri" w:cs="Calibri"/>
        </w:rPr>
      </w:pPr>
      <w:r w:rsidRPr="00243C5A">
        <w:rPr>
          <w:rFonts w:ascii="Calibri" w:hAnsi="Calibri" w:cs="Calibri"/>
        </w:rPr>
        <w:t>Cei doi au evidențiat faptul că ghidul solicitantului nu a oferit suficiente clarificări privind tipurile de activități eligibile și criteriile de interpretare, în special în ceea ce privește digitalizarea proceselor interne. De asemenea, au apreciat că par a exista limitări la nivelul înțelegerii conceptului de digitalizare în cadrul comisiilor de evaluare, ceea ce a influențat modul de evaluare.</w:t>
      </w:r>
    </w:p>
    <w:p w14:paraId="6111A4F9" w14:textId="77777777" w:rsidR="00243C5A" w:rsidRPr="00243C5A" w:rsidRDefault="00243C5A" w:rsidP="004A5541">
      <w:pPr>
        <w:spacing w:before="120" w:after="120" w:line="276" w:lineRule="auto"/>
        <w:jc w:val="both"/>
        <w:rPr>
          <w:rFonts w:ascii="Calibri" w:hAnsi="Calibri" w:cs="Calibri"/>
        </w:rPr>
      </w:pPr>
      <w:r w:rsidRPr="00243C5A">
        <w:rPr>
          <w:rFonts w:ascii="Calibri" w:hAnsi="Calibri" w:cs="Calibri"/>
        </w:rPr>
        <w:t>Astfel de neclarități ar fi trebuit adresate în etapa de elaborare a ghidului, anterior lansării apelului. Persistența acestora până în etapa de evaluare generează un consum ridicat de resurse, atât la nivelul Autorității de Management, cât și la nivelul potențialilor beneficiari, prin costuri asociate elaborării documentațiilor, studiilor și serviciilor de consultanță.</w:t>
      </w:r>
    </w:p>
    <w:p w14:paraId="7CF2C902" w14:textId="77777777" w:rsidR="00243C5A" w:rsidRPr="00243C5A" w:rsidRDefault="00243C5A" w:rsidP="004A5541">
      <w:pPr>
        <w:spacing w:before="120" w:after="120" w:line="276" w:lineRule="auto"/>
        <w:jc w:val="both"/>
        <w:rPr>
          <w:rFonts w:ascii="Calibri" w:hAnsi="Calibri" w:cs="Calibri"/>
        </w:rPr>
      </w:pPr>
      <w:r w:rsidRPr="00243C5A">
        <w:rPr>
          <w:rFonts w:ascii="Calibri" w:hAnsi="Calibri" w:cs="Calibri"/>
        </w:rPr>
        <w:t>În completare, a fost evidențiat faptul că dificultățile nu au fost generate exclusiv de conținutul ghidului, ci și de modul de aplicare a acestuia în procesul de evaluare. A existat o abordare restrictivă din partea evaluatorilor externi, care s-au raportat strict la formulările din ghid, fără a integra o interpretare mai largă a conceptului de digitalizare. În acest context, soluțiile care combinau elemente de automatizare și digitalizare au fost respinse, fiind preferată o interpretare conservatoare, percepută ca mai sigură din perspectiva evaluatorilor.</w:t>
      </w:r>
    </w:p>
    <w:p w14:paraId="091648CB" w14:textId="47C61199" w:rsidR="00243C5A" w:rsidRPr="00243C5A" w:rsidRDefault="00243C5A" w:rsidP="004A5541">
      <w:pPr>
        <w:spacing w:before="120" w:after="120" w:line="276" w:lineRule="auto"/>
        <w:jc w:val="both"/>
        <w:rPr>
          <w:rStyle w:val="y2iqfc"/>
          <w:rFonts w:eastAsiaTheme="majorEastAsia"/>
          <w:color w:val="0F4761" w:themeColor="accent1" w:themeShade="BF"/>
          <w:sz w:val="24"/>
          <w:szCs w:val="24"/>
        </w:rPr>
      </w:pPr>
      <w:r w:rsidRPr="00243C5A">
        <w:rPr>
          <w:rStyle w:val="y2iqfc"/>
          <w:rFonts w:eastAsiaTheme="majorEastAsia"/>
          <w:color w:val="0F4761" w:themeColor="accent1" w:themeShade="BF"/>
          <w:sz w:val="24"/>
          <w:szCs w:val="24"/>
        </w:rPr>
        <w:t>Comparația cu PNRR</w:t>
      </w:r>
    </w:p>
    <w:p w14:paraId="36F338FD" w14:textId="77777777" w:rsidR="00243C5A" w:rsidRPr="00243C5A" w:rsidRDefault="00243C5A" w:rsidP="004A5541">
      <w:pPr>
        <w:spacing w:before="120" w:after="120" w:line="276" w:lineRule="auto"/>
        <w:jc w:val="both"/>
        <w:rPr>
          <w:rFonts w:ascii="Calibri" w:hAnsi="Calibri" w:cs="Calibri"/>
        </w:rPr>
      </w:pPr>
      <w:r w:rsidRPr="00243C5A">
        <w:rPr>
          <w:rFonts w:ascii="Calibri" w:hAnsi="Calibri" w:cs="Calibri"/>
        </w:rPr>
        <w:t>În ceea ce privește finanțarea PNRR, reprezentanții Cluj IT Cluster au precizat că finanțările au fost utilizate pentru digitalizarea unor procese specifice la nivel de departament, în timp ce prin Programul Regional se urmărea extinderea intervențiilor către alte procese și zone ale organizației. Tipologia activităților a fost similară, diferența fiind dată de aria de aplicare.</w:t>
      </w:r>
    </w:p>
    <w:p w14:paraId="2BDDFFF4" w14:textId="77777777" w:rsidR="00243C5A" w:rsidRPr="00243C5A" w:rsidRDefault="00243C5A" w:rsidP="004A5541">
      <w:pPr>
        <w:spacing w:before="120" w:after="120" w:line="276" w:lineRule="auto"/>
        <w:jc w:val="both"/>
        <w:rPr>
          <w:rFonts w:ascii="Calibri" w:hAnsi="Calibri" w:cs="Calibri"/>
        </w:rPr>
      </w:pPr>
      <w:r w:rsidRPr="00243C5A">
        <w:rPr>
          <w:rFonts w:ascii="Calibri" w:hAnsi="Calibri" w:cs="Calibri"/>
        </w:rPr>
        <w:t>Reprezentanții au menționat că, în cadrul PNRR, abordarea a fost mai puțin restrictivă, evaluarea fiind orientată în principal către îndeplinirea unor criterii formale, ceea ce a permis acceptarea proiectelor în condiții mai flexibile.</w:t>
      </w:r>
    </w:p>
    <w:p w14:paraId="7EB0F666" w14:textId="77777777" w:rsidR="00243C5A" w:rsidRPr="00243C5A" w:rsidRDefault="00243C5A" w:rsidP="004A5541">
      <w:pPr>
        <w:spacing w:before="120" w:after="120" w:line="276" w:lineRule="auto"/>
        <w:jc w:val="both"/>
        <w:rPr>
          <w:rStyle w:val="y2iqfc"/>
          <w:rFonts w:eastAsiaTheme="majorEastAsia"/>
          <w:color w:val="0F4761" w:themeColor="accent1" w:themeShade="BF"/>
          <w:sz w:val="24"/>
          <w:szCs w:val="24"/>
        </w:rPr>
      </w:pPr>
      <w:r w:rsidRPr="00243C5A">
        <w:rPr>
          <w:rStyle w:val="y2iqfc"/>
          <w:rFonts w:eastAsiaTheme="majorEastAsia"/>
          <w:color w:val="0F4761" w:themeColor="accent1" w:themeShade="BF"/>
          <w:sz w:val="24"/>
          <w:szCs w:val="24"/>
        </w:rPr>
        <w:t>Experiența în cadrul apelurilor pentru competitivitatea IMM-urilor</w:t>
      </w:r>
    </w:p>
    <w:p w14:paraId="65E9A130" w14:textId="77777777" w:rsidR="00243C5A" w:rsidRPr="00243C5A" w:rsidRDefault="00243C5A" w:rsidP="004A5541">
      <w:pPr>
        <w:spacing w:before="120" w:after="120" w:line="276" w:lineRule="auto"/>
        <w:jc w:val="both"/>
        <w:rPr>
          <w:rFonts w:ascii="Calibri" w:hAnsi="Calibri" w:cs="Calibri"/>
        </w:rPr>
      </w:pPr>
      <w:r w:rsidRPr="00243C5A">
        <w:rPr>
          <w:rFonts w:ascii="Calibri" w:hAnsi="Calibri" w:cs="Calibri"/>
        </w:rPr>
        <w:t>Următoarea întrebare a vizat experiența în cadrul apelurilor dedicate competitivității IMM-urilor din Programul Regional Nord-Vest. Reprezentanții Cluj IT Cluster au menționat că sunt implicați în implementarea unor astfel de proiecte, și că o parte din aceste intervenții sunt deja finalizate sau aflate în stadiu avansat de implementare.</w:t>
      </w:r>
    </w:p>
    <w:p w14:paraId="4ED98B46" w14:textId="77777777" w:rsidR="00243C5A" w:rsidRPr="00243C5A" w:rsidRDefault="00243C5A" w:rsidP="004A5541">
      <w:pPr>
        <w:spacing w:before="120" w:after="120" w:line="276" w:lineRule="auto"/>
        <w:jc w:val="both"/>
        <w:rPr>
          <w:rFonts w:ascii="Calibri" w:hAnsi="Calibri" w:cs="Calibri"/>
        </w:rPr>
      </w:pPr>
      <w:r w:rsidRPr="00243C5A">
        <w:rPr>
          <w:rFonts w:ascii="Calibri" w:hAnsi="Calibri" w:cs="Calibri"/>
        </w:rPr>
        <w:lastRenderedPageBreak/>
        <w:t>Comparativ cu apelul de digitalizare, aceștia au evidențiat un grad mai ridicat de claritate în cazul intervențiilor dedicate competitivității IMM-urilor. Acest aspect a fost corelat cu experiența acumulată în perioadele de programare anterioare, precum și cu natura mai bine definită a investițiilor eligibile, în special achiziții de echipamente și soluții hardware și software.</w:t>
      </w:r>
    </w:p>
    <w:p w14:paraId="0AC0D84C" w14:textId="77777777" w:rsidR="00243C5A" w:rsidRPr="00243C5A" w:rsidRDefault="00243C5A" w:rsidP="004A5541">
      <w:pPr>
        <w:spacing w:before="120" w:after="120" w:line="276" w:lineRule="auto"/>
        <w:jc w:val="both"/>
        <w:rPr>
          <w:rFonts w:ascii="Calibri" w:hAnsi="Calibri" w:cs="Calibri"/>
        </w:rPr>
      </w:pPr>
      <w:r w:rsidRPr="00243C5A">
        <w:rPr>
          <w:rFonts w:ascii="Calibri" w:hAnsi="Calibri" w:cs="Calibri"/>
        </w:rPr>
        <w:t>S-a evidențiat că, în cazul digitalizării, nu există încă un cadru conceptual suficient de matur care să poată fi transpus într-un mod clar și coerent la nivelul ghidurilor de finanțare. Digitalizarea poate lua forme diverse, în funcție de specificul activității, iar o abordare rigidă limitează capacitatea de adaptare la nevoile reale ale beneficiarilor. În acest context, s-a remarcat că accentul pus pe respectarea strictă a criteriilor a contribuit la asigurarea conformității la nivel administrativ, dar a restrâns interpretarea operațională a digitalizării.</w:t>
      </w:r>
    </w:p>
    <w:p w14:paraId="23368340" w14:textId="77777777" w:rsidR="00243C5A" w:rsidRPr="00243C5A" w:rsidRDefault="00243C5A" w:rsidP="004A5541">
      <w:pPr>
        <w:spacing w:before="120" w:after="120" w:line="276" w:lineRule="auto"/>
        <w:jc w:val="both"/>
        <w:rPr>
          <w:rFonts w:ascii="Calibri" w:hAnsi="Calibri" w:cs="Calibri"/>
        </w:rPr>
      </w:pPr>
      <w:r w:rsidRPr="00243C5A">
        <w:rPr>
          <w:rFonts w:ascii="Calibri" w:hAnsi="Calibri" w:cs="Calibri"/>
        </w:rPr>
        <w:t>Reprezentanții au recomandat implicarea actorilor relevanți (companii, furnizori de servicii IT, potențiali evaluatori) în etapa de elaborare a ghidurilor, în vederea definirii unui cadru comun de înțelegere a digitalizării și a modului de implementare a acesteia.</w:t>
      </w:r>
    </w:p>
    <w:p w14:paraId="7D55E518" w14:textId="77777777" w:rsidR="00243C5A" w:rsidRPr="00243C5A" w:rsidRDefault="00243C5A" w:rsidP="004A5541">
      <w:pPr>
        <w:spacing w:before="120" w:after="120" w:line="276" w:lineRule="auto"/>
        <w:jc w:val="both"/>
        <w:rPr>
          <w:rFonts w:ascii="Calibri" w:hAnsi="Calibri" w:cs="Calibri"/>
        </w:rPr>
      </w:pPr>
      <w:r w:rsidRPr="00243C5A">
        <w:rPr>
          <w:rFonts w:ascii="Calibri" w:hAnsi="Calibri" w:cs="Calibri"/>
        </w:rPr>
        <w:t>În completare, a fost semnalată existența unor dificultăți similare și în alte domenii, precum cercetarea, în special în cazul serviciilor. Spre deosebire de produsele fizice, unde etapele cercetării sunt mai clar definite, în cazul serviciilor delimitarea acestora este mai dificilă, inclusiv în raport cu nivelurile TRL. Această situație generează probleme de interpretare comparabile cu cele întâlnite în cazul digitalizării.</w:t>
      </w:r>
    </w:p>
    <w:p w14:paraId="6342C86C" w14:textId="6196FF43" w:rsidR="00243C5A" w:rsidRPr="00243C5A" w:rsidRDefault="00243C5A" w:rsidP="004A5541">
      <w:pPr>
        <w:spacing w:before="120" w:after="120" w:line="276" w:lineRule="auto"/>
        <w:jc w:val="both"/>
        <w:rPr>
          <w:rStyle w:val="y2iqfc"/>
          <w:rFonts w:eastAsiaTheme="majorEastAsia"/>
          <w:color w:val="0F4761" w:themeColor="accent1" w:themeShade="BF"/>
          <w:sz w:val="24"/>
          <w:szCs w:val="24"/>
        </w:rPr>
      </w:pPr>
      <w:r w:rsidRPr="00243C5A">
        <w:rPr>
          <w:rStyle w:val="y2iqfc"/>
          <w:rFonts w:eastAsiaTheme="majorEastAsia"/>
          <w:color w:val="0F4761" w:themeColor="accent1" w:themeShade="BF"/>
          <w:sz w:val="24"/>
          <w:szCs w:val="24"/>
        </w:rPr>
        <w:t xml:space="preserve">Recomandări </w:t>
      </w:r>
    </w:p>
    <w:p w14:paraId="140FB712" w14:textId="77777777" w:rsidR="00243C5A" w:rsidRPr="00243C5A" w:rsidRDefault="00243C5A" w:rsidP="004A5541">
      <w:pPr>
        <w:spacing w:before="120" w:after="120" w:line="276" w:lineRule="auto"/>
        <w:jc w:val="both"/>
        <w:rPr>
          <w:rFonts w:ascii="Calibri" w:hAnsi="Calibri" w:cs="Calibri"/>
        </w:rPr>
      </w:pPr>
      <w:r w:rsidRPr="00243C5A">
        <w:rPr>
          <w:rFonts w:ascii="Calibri" w:hAnsi="Calibri" w:cs="Calibri"/>
        </w:rPr>
        <w:t>Din partea echipei de evaluare, dl. Michele Alessandrini a menționat că discuția confirmă constatări identificate și din alte surse de informare. Acesta a evidențiat problemele legate de înțelegerea digitalizării la nivelul beneficiarilor, dar și de abordarea autorităților, caracterizată prin reguli stricte și dificultăți în integrarea digitalizării în procesele de producție sau în competitivitate, într-un sens mai larg.</w:t>
      </w:r>
    </w:p>
    <w:p w14:paraId="39EEED3B" w14:textId="77777777" w:rsidR="00243C5A" w:rsidRPr="00243C5A" w:rsidRDefault="00243C5A" w:rsidP="004A5541">
      <w:pPr>
        <w:spacing w:before="120" w:after="120" w:line="276" w:lineRule="auto"/>
        <w:jc w:val="both"/>
        <w:rPr>
          <w:rFonts w:ascii="Calibri" w:hAnsi="Calibri" w:cs="Calibri"/>
        </w:rPr>
      </w:pPr>
      <w:r w:rsidRPr="00243C5A">
        <w:rPr>
          <w:rFonts w:ascii="Calibri" w:hAnsi="Calibri" w:cs="Calibri"/>
        </w:rPr>
        <w:t>În acest context, a solicitat formularea unor recomandări pentru îmbunătățirea sprijinului public în viitoarele intervenții.</w:t>
      </w:r>
    </w:p>
    <w:p w14:paraId="1E0FB30C" w14:textId="77777777" w:rsidR="00243C5A" w:rsidRPr="00243C5A" w:rsidRDefault="00243C5A" w:rsidP="004A5541">
      <w:pPr>
        <w:spacing w:before="120" w:after="120" w:line="276" w:lineRule="auto"/>
        <w:jc w:val="both"/>
        <w:rPr>
          <w:rFonts w:ascii="Calibri" w:hAnsi="Calibri" w:cs="Calibri"/>
        </w:rPr>
      </w:pPr>
      <w:r w:rsidRPr="00243C5A">
        <w:rPr>
          <w:rFonts w:ascii="Calibri" w:hAnsi="Calibri" w:cs="Calibri"/>
        </w:rPr>
        <w:t>Reprezentanții Cluj IT Cluster au propus organizarea unor consultări comune între Autoritatea de Management, beneficiari, experți IT și furnizori de soluții software, în vederea definirii unor principii comune privind digitalizarea și modalitățile de implementare. S-a subliniat că digitalizarea poate urma direcții diferite, ceea ce necesită o abordare flexibilă, reflectată ulterior în ghiduri.</w:t>
      </w:r>
    </w:p>
    <w:p w14:paraId="5B549931" w14:textId="381E270F" w:rsidR="00243C5A" w:rsidRPr="00243C5A" w:rsidRDefault="00243C5A" w:rsidP="004A5541">
      <w:pPr>
        <w:spacing w:before="120" w:after="120" w:line="276" w:lineRule="auto"/>
        <w:jc w:val="both"/>
        <w:rPr>
          <w:rStyle w:val="y2iqfc"/>
          <w:rFonts w:eastAsiaTheme="majorEastAsia"/>
          <w:color w:val="0F4761" w:themeColor="accent1" w:themeShade="BF"/>
          <w:sz w:val="24"/>
          <w:szCs w:val="24"/>
        </w:rPr>
      </w:pPr>
      <w:r w:rsidRPr="00243C5A">
        <w:rPr>
          <w:rStyle w:val="y2iqfc"/>
          <w:rFonts w:eastAsiaTheme="majorEastAsia"/>
          <w:color w:val="0F4761" w:themeColor="accent1" w:themeShade="BF"/>
          <w:sz w:val="24"/>
          <w:szCs w:val="24"/>
        </w:rPr>
        <w:t>Consultarea actorilor regionali și valorificarea feedbackului</w:t>
      </w:r>
    </w:p>
    <w:p w14:paraId="5785D1BA" w14:textId="77777777" w:rsidR="00243C5A" w:rsidRPr="00243C5A" w:rsidRDefault="00243C5A" w:rsidP="004A5541">
      <w:pPr>
        <w:spacing w:before="120" w:after="120" w:line="276" w:lineRule="auto"/>
        <w:jc w:val="both"/>
        <w:rPr>
          <w:rFonts w:ascii="Calibri" w:hAnsi="Calibri" w:cs="Calibri"/>
        </w:rPr>
      </w:pPr>
      <w:r w:rsidRPr="00243C5A">
        <w:rPr>
          <w:rFonts w:ascii="Calibri" w:hAnsi="Calibri" w:cs="Calibri"/>
        </w:rPr>
        <w:t>Discuția a inclus și aspecte privind modul în care Autoritatea de Management valorifică opiniile actorilor regionali în procesul de elaborare a ghidurilor, urmărindu-se în ce măsură mecanismele de consultare sunt percepute ca relevante și dacă feedbackul formulat este analizat și integrat în mod efectiv. În acest context, s-a evidențiat că, în cadrul procesului de evaluare, au fost identificate în mod constant probleme și propuneri de soluții formulate de actorii regionali, unele dintre acestea având un grad ridicat de aplicabilitate.</w:t>
      </w:r>
    </w:p>
    <w:p w14:paraId="43CBC01C" w14:textId="77777777" w:rsidR="00243C5A" w:rsidRPr="00243C5A" w:rsidRDefault="00243C5A" w:rsidP="004A5541">
      <w:pPr>
        <w:spacing w:before="120" w:after="120" w:line="276" w:lineRule="auto"/>
        <w:jc w:val="both"/>
        <w:rPr>
          <w:rFonts w:ascii="Calibri" w:hAnsi="Calibri" w:cs="Calibri"/>
        </w:rPr>
      </w:pPr>
      <w:r w:rsidRPr="00243C5A">
        <w:rPr>
          <w:rFonts w:ascii="Calibri" w:hAnsi="Calibri" w:cs="Calibri"/>
        </w:rPr>
        <w:t xml:space="preserve">Reprezentanții Cluj IT Cluster au menționat că au fost implicați în structuri consultative relevante și că au participat în cadrul Comitetului de evaluare a programului. Aceștia au apreciat că există deschidere din partea Autorității de Management pentru consultare și pentru analizarea recomandărilor formulate </w:t>
      </w:r>
      <w:r w:rsidRPr="00243C5A">
        <w:rPr>
          <w:rFonts w:ascii="Calibri" w:hAnsi="Calibri" w:cs="Calibri"/>
        </w:rPr>
        <w:lastRenderedPageBreak/>
        <w:t>de actori din teren, în special atunci când acestea sunt corelate cu cadrul de reglementare și cu logica programului.</w:t>
      </w:r>
    </w:p>
    <w:p w14:paraId="7A95CF74" w14:textId="77777777" w:rsidR="00243C5A" w:rsidRPr="00243C5A" w:rsidRDefault="00243C5A" w:rsidP="004A5541">
      <w:pPr>
        <w:spacing w:before="120" w:after="120" w:line="276" w:lineRule="auto"/>
        <w:jc w:val="both"/>
        <w:rPr>
          <w:rFonts w:ascii="Calibri" w:hAnsi="Calibri" w:cs="Calibri"/>
        </w:rPr>
      </w:pPr>
      <w:r w:rsidRPr="00243C5A">
        <w:rPr>
          <w:rFonts w:ascii="Calibri" w:hAnsi="Calibri" w:cs="Calibri"/>
        </w:rPr>
        <w:t>Totuși, a fost semnalată existența unor limitări în implementarea anumitor propuneri, generate de constrângeri de natură legislativă, atât la nivel național, cât și european. În acest sens, nu toate recomandările pot fi transpuse în practică, chiar dacă sunt relevante din perspectiva beneficiarilor.</w:t>
      </w:r>
    </w:p>
    <w:p w14:paraId="60449AD0" w14:textId="77777777" w:rsidR="00243C5A" w:rsidRPr="00243C5A" w:rsidRDefault="00243C5A" w:rsidP="004A5541">
      <w:pPr>
        <w:spacing w:before="120" w:after="120" w:line="276" w:lineRule="auto"/>
        <w:jc w:val="both"/>
        <w:rPr>
          <w:rFonts w:ascii="Calibri" w:hAnsi="Calibri" w:cs="Calibri"/>
        </w:rPr>
      </w:pPr>
      <w:r w:rsidRPr="00243C5A">
        <w:rPr>
          <w:rFonts w:ascii="Calibri" w:hAnsi="Calibri" w:cs="Calibri"/>
        </w:rPr>
        <w:t>Au fost identificate și posibile direcții de îmbunătățire, inclusiv necesitatea consolidării procesului de formare a evaluatorilor externi și organizarea consultărilor într-o etapă anterioară lansării ghidurilor. S-a subliniat că există o diferență între consultările pe principii generale și publicarea ghidurilor în forma finală, iar prima categorie poate fi extinsă fără a genera riscuri legate de accesul la informații privilegiate.</w:t>
      </w:r>
    </w:p>
    <w:p w14:paraId="42F3F933" w14:textId="77777777" w:rsidR="00243C5A" w:rsidRPr="00243C5A" w:rsidRDefault="00243C5A" w:rsidP="004A5541">
      <w:pPr>
        <w:spacing w:before="120" w:after="120" w:line="276" w:lineRule="auto"/>
        <w:jc w:val="both"/>
        <w:rPr>
          <w:rFonts w:ascii="Calibri" w:hAnsi="Calibri" w:cs="Calibri"/>
        </w:rPr>
      </w:pPr>
      <w:r w:rsidRPr="00243C5A">
        <w:rPr>
          <w:rFonts w:ascii="Calibri" w:hAnsi="Calibri" w:cs="Calibri"/>
        </w:rPr>
        <w:t>De asemenea, s-a remarcat o evoluție pozitivă în ceea ce privește organizarea de întâlniri cu diferite categorii de actori implicați, însă în cazul domeniului digitalizării a fost evidențiată necesitatea unor consultări mai aprofundate. A fost menționat exemplul unor inițiative în domeniul digital, unde implicarea mediului privat a fost percepută ca fiind limitată, ceea ce poate conduce la dezvoltarea unor soluții mai puțin adaptate nevoilor reale.</w:t>
      </w:r>
    </w:p>
    <w:p w14:paraId="24ABF8FD" w14:textId="77777777" w:rsidR="00243C5A" w:rsidRPr="00243C5A" w:rsidRDefault="00243C5A" w:rsidP="004A5541">
      <w:pPr>
        <w:spacing w:before="120" w:after="120" w:line="276" w:lineRule="auto"/>
        <w:jc w:val="both"/>
        <w:rPr>
          <w:rFonts w:ascii="Calibri" w:hAnsi="Calibri" w:cs="Calibri"/>
          <w:b/>
          <w:bCs/>
        </w:rPr>
      </w:pPr>
      <w:r w:rsidRPr="00243C5A">
        <w:rPr>
          <w:rFonts w:ascii="Calibri" w:hAnsi="Calibri" w:cs="Calibri"/>
        </w:rPr>
        <w:t>În acest context, a fost reiterată necesitatea unor mecanisme de consultare mai structurate între Autoritatea de Management și actorii relevanți, în special în etapa de elaborare a ghidurilor, astfel încât nevoile identificate la nivelul beneficiarilor să fie reflectate mai adecvat în intervențiile propuse.</w:t>
      </w:r>
    </w:p>
    <w:p w14:paraId="747BC51E" w14:textId="77777777" w:rsidR="00243C5A" w:rsidRPr="00243C5A" w:rsidRDefault="00243C5A" w:rsidP="004A5541">
      <w:pPr>
        <w:spacing w:line="276" w:lineRule="auto"/>
        <w:jc w:val="both"/>
        <w:rPr>
          <w:rFonts w:ascii="Calibri" w:hAnsi="Calibri" w:cs="Calibri"/>
        </w:rPr>
      </w:pPr>
    </w:p>
    <w:p w14:paraId="005666DD" w14:textId="77777777" w:rsidR="00124AC8" w:rsidRPr="00243C5A" w:rsidRDefault="00124AC8" w:rsidP="004A5541">
      <w:pPr>
        <w:spacing w:line="276" w:lineRule="auto"/>
      </w:pPr>
    </w:p>
    <w:sectPr w:rsidR="00124AC8" w:rsidRPr="00243C5A" w:rsidSect="00243C5A">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73D36" w14:textId="77777777" w:rsidR="001E060C" w:rsidRDefault="001E060C">
      <w:pPr>
        <w:spacing w:after="0" w:line="240" w:lineRule="auto"/>
      </w:pPr>
      <w:r>
        <w:separator/>
      </w:r>
    </w:p>
  </w:endnote>
  <w:endnote w:type="continuationSeparator" w:id="0">
    <w:p w14:paraId="5BE065B6" w14:textId="77777777" w:rsidR="001E060C" w:rsidRDefault="001E06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12DB5" w14:textId="77777777" w:rsidR="001E060C" w:rsidRDefault="001E060C">
      <w:pPr>
        <w:spacing w:after="0" w:line="240" w:lineRule="auto"/>
      </w:pPr>
      <w:r>
        <w:separator/>
      </w:r>
    </w:p>
  </w:footnote>
  <w:footnote w:type="continuationSeparator" w:id="0">
    <w:p w14:paraId="40B9F2DF" w14:textId="77777777" w:rsidR="001E060C" w:rsidRDefault="001E06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60D7A" w14:textId="77777777" w:rsidR="00243C5A" w:rsidRDefault="00243C5A">
    <w:pPr>
      <w:pStyle w:val="Header"/>
    </w:pPr>
    <w:r>
      <w:rPr>
        <w:noProof/>
      </w:rPr>
      <w:drawing>
        <wp:anchor distT="0" distB="0" distL="114300" distR="114300" simplePos="0" relativeHeight="251659264" behindDoc="0" locked="0" layoutInCell="1" allowOverlap="1" wp14:anchorId="1B7FE91E" wp14:editId="151EE504">
          <wp:simplePos x="0" y="0"/>
          <wp:positionH relativeFrom="margin">
            <wp:posOffset>-333954</wp:posOffset>
          </wp:positionH>
          <wp:positionV relativeFrom="paragraph">
            <wp:posOffset>-302757</wp:posOffset>
          </wp:positionV>
          <wp:extent cx="6501130" cy="834390"/>
          <wp:effectExtent l="0" t="0" r="0" b="0"/>
          <wp:wrapSquare wrapText="bothSides"/>
          <wp:docPr id="527527437" name="Imagine 1"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646447" name="Imagine 1" descr="A blue and white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6501130" cy="83439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C5A"/>
    <w:rsid w:val="00036A3F"/>
    <w:rsid w:val="00124AC8"/>
    <w:rsid w:val="0017426C"/>
    <w:rsid w:val="001A60A7"/>
    <w:rsid w:val="001E060C"/>
    <w:rsid w:val="002308EC"/>
    <w:rsid w:val="00243C5A"/>
    <w:rsid w:val="003126D2"/>
    <w:rsid w:val="004A5541"/>
    <w:rsid w:val="007102E0"/>
    <w:rsid w:val="007552C9"/>
    <w:rsid w:val="008209B7"/>
    <w:rsid w:val="00884753"/>
    <w:rsid w:val="00DA37EE"/>
    <w:rsid w:val="00DE373D"/>
    <w:rsid w:val="00DF00F9"/>
    <w:rsid w:val="00E37C22"/>
    <w:rsid w:val="00FA79F6"/>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AC7C4"/>
  <w15:chartTrackingRefBased/>
  <w15:docId w15:val="{D35A1C17-17B8-4D1D-A3B8-6FB24D8D8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3C5A"/>
  </w:style>
  <w:style w:type="paragraph" w:styleId="Heading1">
    <w:name w:val="heading 1"/>
    <w:basedOn w:val="Normal"/>
    <w:next w:val="Normal"/>
    <w:link w:val="Heading1Char"/>
    <w:uiPriority w:val="9"/>
    <w:qFormat/>
    <w:rsid w:val="00243C5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43C5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43C5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43C5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43C5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43C5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43C5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43C5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43C5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3C5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43C5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43C5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43C5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43C5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43C5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43C5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43C5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43C5A"/>
    <w:rPr>
      <w:rFonts w:eastAsiaTheme="majorEastAsia" w:cstheme="majorBidi"/>
      <w:color w:val="272727" w:themeColor="text1" w:themeTint="D8"/>
    </w:rPr>
  </w:style>
  <w:style w:type="paragraph" w:styleId="Title">
    <w:name w:val="Title"/>
    <w:basedOn w:val="Normal"/>
    <w:next w:val="Normal"/>
    <w:link w:val="TitleChar"/>
    <w:uiPriority w:val="10"/>
    <w:qFormat/>
    <w:rsid w:val="00243C5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43C5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43C5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43C5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43C5A"/>
    <w:pPr>
      <w:spacing w:before="160"/>
      <w:jc w:val="center"/>
    </w:pPr>
    <w:rPr>
      <w:i/>
      <w:iCs/>
      <w:color w:val="404040" w:themeColor="text1" w:themeTint="BF"/>
    </w:rPr>
  </w:style>
  <w:style w:type="character" w:customStyle="1" w:styleId="QuoteChar">
    <w:name w:val="Quote Char"/>
    <w:basedOn w:val="DefaultParagraphFont"/>
    <w:link w:val="Quote"/>
    <w:uiPriority w:val="29"/>
    <w:rsid w:val="00243C5A"/>
    <w:rPr>
      <w:i/>
      <w:iCs/>
      <w:color w:val="404040" w:themeColor="text1" w:themeTint="BF"/>
    </w:rPr>
  </w:style>
  <w:style w:type="paragraph" w:styleId="ListParagraph">
    <w:name w:val="List Paragraph"/>
    <w:basedOn w:val="Normal"/>
    <w:uiPriority w:val="34"/>
    <w:qFormat/>
    <w:rsid w:val="00243C5A"/>
    <w:pPr>
      <w:ind w:left="720"/>
      <w:contextualSpacing/>
    </w:pPr>
  </w:style>
  <w:style w:type="character" w:styleId="IntenseEmphasis">
    <w:name w:val="Intense Emphasis"/>
    <w:basedOn w:val="DefaultParagraphFont"/>
    <w:uiPriority w:val="21"/>
    <w:qFormat/>
    <w:rsid w:val="00243C5A"/>
    <w:rPr>
      <w:i/>
      <w:iCs/>
      <w:color w:val="0F4761" w:themeColor="accent1" w:themeShade="BF"/>
    </w:rPr>
  </w:style>
  <w:style w:type="paragraph" w:styleId="IntenseQuote">
    <w:name w:val="Intense Quote"/>
    <w:basedOn w:val="Normal"/>
    <w:next w:val="Normal"/>
    <w:link w:val="IntenseQuoteChar"/>
    <w:uiPriority w:val="30"/>
    <w:qFormat/>
    <w:rsid w:val="00243C5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43C5A"/>
    <w:rPr>
      <w:i/>
      <w:iCs/>
      <w:color w:val="0F4761" w:themeColor="accent1" w:themeShade="BF"/>
    </w:rPr>
  </w:style>
  <w:style w:type="character" w:styleId="IntenseReference">
    <w:name w:val="Intense Reference"/>
    <w:basedOn w:val="DefaultParagraphFont"/>
    <w:uiPriority w:val="32"/>
    <w:qFormat/>
    <w:rsid w:val="00243C5A"/>
    <w:rPr>
      <w:b/>
      <w:bCs/>
      <w:smallCaps/>
      <w:color w:val="0F4761" w:themeColor="accent1" w:themeShade="BF"/>
      <w:spacing w:val="5"/>
    </w:rPr>
  </w:style>
  <w:style w:type="table" w:styleId="ListTable2-Accent1">
    <w:name w:val="List Table 2 Accent 1"/>
    <w:basedOn w:val="TableNormal"/>
    <w:uiPriority w:val="47"/>
    <w:rsid w:val="00243C5A"/>
    <w:pPr>
      <w:spacing w:after="0" w:line="240" w:lineRule="auto"/>
    </w:pPr>
    <w:rPr>
      <w:kern w:val="0"/>
      <w:lang w:val="en-GB"/>
      <w14:ligatures w14:val="none"/>
    </w:rPr>
    <w:tblPr>
      <w:tblStyleRowBandSize w:val="1"/>
      <w:tblStyleColBandSize w:val="1"/>
      <w:tblInd w:w="0" w:type="nil"/>
      <w:tblBorders>
        <w:top w:val="single" w:sz="4" w:space="0" w:color="45B0E1" w:themeColor="accent1" w:themeTint="99"/>
        <w:bottom w:val="single" w:sz="4" w:space="0" w:color="45B0E1" w:themeColor="accent1" w:themeTint="99"/>
        <w:insideH w:val="single" w:sz="4" w:space="0" w:color="45B0E1"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paragraph" w:styleId="Header">
    <w:name w:val="header"/>
    <w:basedOn w:val="Normal"/>
    <w:link w:val="HeaderChar"/>
    <w:uiPriority w:val="99"/>
    <w:unhideWhenUsed/>
    <w:rsid w:val="00243C5A"/>
    <w:pPr>
      <w:tabs>
        <w:tab w:val="center" w:pos="4536"/>
        <w:tab w:val="right" w:pos="9072"/>
      </w:tabs>
      <w:spacing w:after="0" w:line="240" w:lineRule="auto"/>
    </w:pPr>
  </w:style>
  <w:style w:type="character" w:customStyle="1" w:styleId="HeaderChar">
    <w:name w:val="Header Char"/>
    <w:basedOn w:val="DefaultParagraphFont"/>
    <w:link w:val="Header"/>
    <w:uiPriority w:val="99"/>
    <w:rsid w:val="00243C5A"/>
  </w:style>
  <w:style w:type="character" w:customStyle="1" w:styleId="y2iqfc">
    <w:name w:val="y2iqfc"/>
    <w:basedOn w:val="DefaultParagraphFont"/>
    <w:rsid w:val="00243C5A"/>
  </w:style>
  <w:style w:type="table" w:styleId="GridTable2-Accent1">
    <w:name w:val="Grid Table 2 Accent 1"/>
    <w:basedOn w:val="TableNormal"/>
    <w:uiPriority w:val="47"/>
    <w:rsid w:val="00036A3F"/>
    <w:pPr>
      <w:spacing w:after="0" w:line="240" w:lineRule="auto"/>
    </w:pPr>
    <w:tblPr>
      <w:tblStyleRowBandSize w:val="1"/>
      <w:tblStyleColBandSize w:val="1"/>
      <w:tblBorders>
        <w:top w:val="single" w:sz="2" w:space="0" w:color="45B0E1" w:themeColor="accent1" w:themeTint="99"/>
        <w:bottom w:val="single" w:sz="2" w:space="0" w:color="45B0E1" w:themeColor="accent1" w:themeTint="99"/>
        <w:insideH w:val="single" w:sz="2" w:space="0" w:color="45B0E1" w:themeColor="accent1" w:themeTint="99"/>
        <w:insideV w:val="single" w:sz="2" w:space="0" w:color="45B0E1" w:themeColor="accent1" w:themeTint="99"/>
      </w:tblBorders>
    </w:tblPr>
    <w:tblStylePr w:type="firstRow">
      <w:rPr>
        <w:b/>
        <w:bCs/>
      </w:rPr>
      <w:tblPr/>
      <w:tcPr>
        <w:tcBorders>
          <w:top w:val="nil"/>
          <w:bottom w:val="single" w:sz="12" w:space="0" w:color="45B0E1" w:themeColor="accent1" w:themeTint="99"/>
          <w:insideH w:val="nil"/>
          <w:insideV w:val="nil"/>
        </w:tcBorders>
        <w:shd w:val="clear" w:color="auto" w:fill="FFFFFF" w:themeFill="background1"/>
      </w:tcPr>
    </w:tblStylePr>
    <w:tblStylePr w:type="lastRow">
      <w:rPr>
        <w:b/>
        <w:bCs/>
      </w:rPr>
      <w:tblPr/>
      <w:tcPr>
        <w:tcBorders>
          <w:top w:val="double" w:sz="2" w:space="0" w:color="45B0E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paragraph" w:styleId="Revision">
    <w:name w:val="Revision"/>
    <w:hidden/>
    <w:uiPriority w:val="99"/>
    <w:semiHidden/>
    <w:rsid w:val="0088475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2C7177B4973F344698EE9300A1D6404F" ma:contentTypeVersion="12" ma:contentTypeDescription="Creare un nuovo documento." ma:contentTypeScope="" ma:versionID="116da77ec13fb99c7fb122a5df277f24">
  <xsd:schema xmlns:xsd="http://www.w3.org/2001/XMLSchema" xmlns:xs="http://www.w3.org/2001/XMLSchema" xmlns:p="http://schemas.microsoft.com/office/2006/metadata/properties" xmlns:ns2="83b60c86-7a3b-4424-96c0-9042325e933e" xmlns:ns3="3c71c543-0606-45f6-aeaf-a6cf58cec0d1" targetNamespace="http://schemas.microsoft.com/office/2006/metadata/properties" ma:root="true" ma:fieldsID="3e3960fbe767aaf9f325bff3f8d7459e" ns2:_="" ns3:_="">
    <xsd:import namespace="83b60c86-7a3b-4424-96c0-9042325e933e"/>
    <xsd:import namespace="3c71c543-0606-45f6-aeaf-a6cf58cec0d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b60c86-7a3b-4424-96c0-9042325e93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Tag immagine" ma:readOnly="false" ma:fieldId="{5cf76f15-5ced-4ddc-b409-7134ff3c332f}" ma:taxonomyMulti="true" ma:sspId="a4e800e2-e9bc-47c4-9994-64423b69e4a0"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c71c543-0606-45f6-aeaf-a6cf58cec0d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4b02371-09a6-48aa-8bf9-ae9f6c1d24ce}" ma:internalName="TaxCatchAll" ma:showField="CatchAllData" ma:web="3c71c543-0606-45f6-aeaf-a6cf58cec0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c71c543-0606-45f6-aeaf-a6cf58cec0d1" xsi:nil="true"/>
    <lcf76f155ced4ddcb4097134ff3c332f xmlns="83b60c86-7a3b-4424-96c0-9042325e933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6C43E94-77A1-424C-949C-C9E059355D28}">
  <ds:schemaRefs>
    <ds:schemaRef ds:uri="http://schemas.microsoft.com/sharepoint/v3/contenttype/forms"/>
  </ds:schemaRefs>
</ds:datastoreItem>
</file>

<file path=customXml/itemProps2.xml><?xml version="1.0" encoding="utf-8"?>
<ds:datastoreItem xmlns:ds="http://schemas.openxmlformats.org/officeDocument/2006/customXml" ds:itemID="{67258814-4D8D-48F7-B4A7-6B16B2E6DE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b60c86-7a3b-4424-96c0-9042325e933e"/>
    <ds:schemaRef ds:uri="3c71c543-0606-45f6-aeaf-a6cf58cec0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F07620-E5F4-4F52-B9BD-4401BD18B16C}">
  <ds:schemaRefs>
    <ds:schemaRef ds:uri="http://schemas.microsoft.com/office/2006/metadata/properties"/>
    <ds:schemaRef ds:uri="http://schemas.microsoft.com/office/infopath/2007/PartnerControls"/>
    <ds:schemaRef ds:uri="3c71c543-0606-45f6-aeaf-a6cf58cec0d1"/>
    <ds:schemaRef ds:uri="83b60c86-7a3b-4424-96c0-9042325e933e"/>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4386</Words>
  <Characters>25001</Characters>
  <Application>Microsoft Office Word</Application>
  <DocSecurity>0</DocSecurity>
  <Lines>208</Lines>
  <Paragraphs>58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29329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Karina Suditu</dc:creator>
  <cp:keywords/>
  <dc:description/>
  <cp:lastModifiedBy>Cristina Neacsu</cp:lastModifiedBy>
  <cp:revision>10</cp:revision>
  <dcterms:created xsi:type="dcterms:W3CDTF">2026-04-30T11:43:00Z</dcterms:created>
  <dcterms:modified xsi:type="dcterms:W3CDTF">2026-05-22T11:18:00Z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0x0101002C7177B4973F344698EE9300A1D6404F</vt:lpwstr>
  </property>
  <property fmtid="{D5CDD505-2E9C-101B-9397-08002B2CF9AE}" pid="3" name="MediaServiceImageTags">
    <vt:lpwstr/>
  </property>
</Properties>
</file>